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4508"/>
        <w:gridCol w:w="4508"/>
      </w:tblGrid>
      <w:tr w:rsidR="001A6B4F" w:rsidRPr="00136397" w14:paraId="4FEAB81C" w14:textId="77777777" w:rsidTr="00E0198C">
        <w:tc>
          <w:tcPr>
            <w:tcW w:w="4508" w:type="dxa"/>
          </w:tcPr>
          <w:p w14:paraId="221254A4" w14:textId="77777777" w:rsidR="001A6B4F" w:rsidRPr="00136397" w:rsidRDefault="001A6B4F" w:rsidP="00E0198C">
            <w:pPr>
              <w:numPr>
                <w:ilvl w:val="0"/>
                <w:numId w:val="1"/>
              </w:numPr>
              <w:spacing w:line="240" w:lineRule="auto"/>
              <w:contextualSpacing/>
              <w:rPr>
                <w:rFonts w:ascii="Poppins" w:eastAsia="Calibri" w:hAnsi="Poppins" w:cs="Poppins"/>
              </w:rPr>
            </w:pPr>
            <w:r w:rsidRPr="00136397">
              <w:rPr>
                <w:rFonts w:ascii="Poppins" w:eastAsia="Calibri" w:hAnsi="Poppins" w:cs="Poppins"/>
              </w:rPr>
              <w:t xml:space="preserve">Number of occasions you have used powers under the Prevention of Social Housing Fraud (Power to Require Information) (England) Regulations 2014, or similar powers including powers under The Council Tax Reduction Schemes (Detection of Fraud and Enforcement) (England) Regulations 2013.  </w:t>
            </w:r>
          </w:p>
        </w:tc>
        <w:tc>
          <w:tcPr>
            <w:tcW w:w="4508" w:type="dxa"/>
          </w:tcPr>
          <w:p w14:paraId="3445EA86" w14:textId="77777777" w:rsidR="001A6B4F" w:rsidRDefault="001A6B4F" w:rsidP="00E0198C">
            <w:pPr>
              <w:jc w:val="center"/>
              <w:rPr>
                <w:rFonts w:ascii="Poppins" w:eastAsia="Calibri" w:hAnsi="Poppins" w:cs="Poppins"/>
              </w:rPr>
            </w:pPr>
            <w:r>
              <w:rPr>
                <w:rFonts w:ascii="Poppins" w:eastAsia="Calibri" w:hAnsi="Poppins" w:cs="Poppins"/>
              </w:rPr>
              <w:t xml:space="preserve">135 </w:t>
            </w:r>
          </w:p>
          <w:p w14:paraId="7942F370" w14:textId="77777777" w:rsidR="001A6B4F" w:rsidRDefault="001A6B4F" w:rsidP="00E0198C">
            <w:pPr>
              <w:jc w:val="center"/>
              <w:rPr>
                <w:rFonts w:ascii="Poppins" w:eastAsia="Calibri" w:hAnsi="Poppins" w:cs="Poppins"/>
              </w:rPr>
            </w:pPr>
          </w:p>
          <w:p w14:paraId="18820AF3" w14:textId="77777777" w:rsidR="001A6B4F" w:rsidRPr="00136397" w:rsidRDefault="001A6B4F" w:rsidP="00E0198C">
            <w:pPr>
              <w:jc w:val="center"/>
              <w:rPr>
                <w:rFonts w:ascii="Poppins" w:eastAsia="Calibri" w:hAnsi="Poppins" w:cs="Poppins"/>
              </w:rPr>
            </w:pPr>
          </w:p>
        </w:tc>
      </w:tr>
      <w:tr w:rsidR="001A6B4F" w:rsidRPr="00136397" w14:paraId="1EAE9280" w14:textId="77777777" w:rsidTr="00E0198C">
        <w:tc>
          <w:tcPr>
            <w:tcW w:w="4508" w:type="dxa"/>
            <w:tcBorders>
              <w:top w:val="nil"/>
              <w:left w:val="single" w:sz="8" w:space="0" w:color="auto"/>
              <w:bottom w:val="single" w:sz="8" w:space="0" w:color="auto"/>
              <w:right w:val="single" w:sz="8" w:space="0" w:color="auto"/>
            </w:tcBorders>
          </w:tcPr>
          <w:p w14:paraId="7AA5EDF9" w14:textId="77777777" w:rsidR="001A6B4F" w:rsidRPr="00136397" w:rsidRDefault="001A6B4F" w:rsidP="00E0198C">
            <w:pPr>
              <w:numPr>
                <w:ilvl w:val="0"/>
                <w:numId w:val="1"/>
              </w:numPr>
              <w:spacing w:line="240" w:lineRule="auto"/>
              <w:contextualSpacing/>
              <w:rPr>
                <w:rFonts w:ascii="Poppins" w:eastAsia="Calibri" w:hAnsi="Poppins" w:cs="Poppins"/>
              </w:rPr>
            </w:pPr>
            <w:r w:rsidRPr="00136397">
              <w:rPr>
                <w:rFonts w:ascii="Poppins" w:eastAsia="Times New Roman" w:hAnsi="Poppins" w:cs="Poppins"/>
                <w:lang w:eastAsia="en-GB"/>
              </w:rPr>
              <w:t>Total number (absolute and full time equivalent) of employees undertaking investigations and prosecutions of fraud.</w:t>
            </w:r>
          </w:p>
          <w:p w14:paraId="4AA76790" w14:textId="77777777" w:rsidR="001A6B4F" w:rsidRPr="00136397" w:rsidRDefault="001A6B4F" w:rsidP="00E0198C">
            <w:pPr>
              <w:ind w:left="360"/>
              <w:contextualSpacing/>
              <w:rPr>
                <w:rFonts w:ascii="Poppins" w:eastAsia="Calibri" w:hAnsi="Poppins" w:cs="Poppins"/>
              </w:rPr>
            </w:pPr>
          </w:p>
        </w:tc>
        <w:tc>
          <w:tcPr>
            <w:tcW w:w="4508" w:type="dxa"/>
            <w:tcBorders>
              <w:top w:val="nil"/>
              <w:left w:val="nil"/>
              <w:bottom w:val="single" w:sz="8" w:space="0" w:color="auto"/>
              <w:right w:val="single" w:sz="8" w:space="0" w:color="auto"/>
            </w:tcBorders>
          </w:tcPr>
          <w:p w14:paraId="133CCDC4" w14:textId="77777777" w:rsidR="001A6B4F" w:rsidRPr="00136397" w:rsidRDefault="001A6B4F" w:rsidP="00E0198C">
            <w:pPr>
              <w:jc w:val="center"/>
              <w:rPr>
                <w:rFonts w:ascii="Poppins" w:eastAsia="Calibri" w:hAnsi="Poppins" w:cs="Poppins"/>
              </w:rPr>
            </w:pPr>
            <w:r w:rsidRPr="00136397">
              <w:rPr>
                <w:rFonts w:ascii="Poppins" w:eastAsia="Times New Roman" w:hAnsi="Poppins" w:cs="Poppins"/>
                <w:lang w:eastAsia="en-GB"/>
              </w:rPr>
              <w:t>1</w:t>
            </w:r>
          </w:p>
        </w:tc>
      </w:tr>
      <w:tr w:rsidR="001A6B4F" w:rsidRPr="00136397" w14:paraId="41406873" w14:textId="77777777" w:rsidTr="00E0198C">
        <w:tc>
          <w:tcPr>
            <w:tcW w:w="4508" w:type="dxa"/>
            <w:tcBorders>
              <w:top w:val="nil"/>
              <w:left w:val="single" w:sz="8" w:space="0" w:color="auto"/>
              <w:bottom w:val="single" w:sz="8" w:space="0" w:color="auto"/>
              <w:right w:val="single" w:sz="8" w:space="0" w:color="auto"/>
            </w:tcBorders>
          </w:tcPr>
          <w:p w14:paraId="2A36F81E" w14:textId="77777777" w:rsidR="001A6B4F" w:rsidRPr="00136397" w:rsidRDefault="001A6B4F" w:rsidP="00E0198C">
            <w:pPr>
              <w:numPr>
                <w:ilvl w:val="0"/>
                <w:numId w:val="1"/>
              </w:numPr>
              <w:spacing w:line="240" w:lineRule="auto"/>
              <w:contextualSpacing/>
              <w:rPr>
                <w:rFonts w:ascii="Poppins" w:eastAsia="Calibri" w:hAnsi="Poppins" w:cs="Poppins"/>
              </w:rPr>
            </w:pPr>
            <w:r w:rsidRPr="00136397">
              <w:rPr>
                <w:rFonts w:ascii="Poppins" w:eastAsia="Times New Roman" w:hAnsi="Poppins" w:cs="Poppins"/>
                <w:color w:val="000000"/>
                <w:lang w:eastAsia="en-GB"/>
              </w:rPr>
              <w:t xml:space="preserve">Total number (absolute and full time equivalent) of professionally accredited counter fraud specialists. </w:t>
            </w:r>
          </w:p>
        </w:tc>
        <w:tc>
          <w:tcPr>
            <w:tcW w:w="4508" w:type="dxa"/>
            <w:tcBorders>
              <w:top w:val="nil"/>
              <w:left w:val="nil"/>
              <w:bottom w:val="single" w:sz="8" w:space="0" w:color="auto"/>
              <w:right w:val="single" w:sz="8" w:space="0" w:color="auto"/>
            </w:tcBorders>
          </w:tcPr>
          <w:p w14:paraId="19D9528B" w14:textId="77777777" w:rsidR="001A6B4F" w:rsidRPr="00136397" w:rsidRDefault="001A6B4F" w:rsidP="00E0198C">
            <w:pPr>
              <w:jc w:val="center"/>
              <w:rPr>
                <w:rFonts w:ascii="Poppins" w:eastAsia="Calibri" w:hAnsi="Poppins" w:cs="Poppins"/>
              </w:rPr>
            </w:pPr>
            <w:r w:rsidRPr="00136397">
              <w:rPr>
                <w:rFonts w:ascii="Poppins" w:eastAsia="Times New Roman" w:hAnsi="Poppins" w:cs="Poppins"/>
                <w:lang w:eastAsia="en-GB"/>
              </w:rPr>
              <w:t>1</w:t>
            </w:r>
          </w:p>
        </w:tc>
      </w:tr>
      <w:tr w:rsidR="001A6B4F" w:rsidRPr="00136397" w14:paraId="76225A4A" w14:textId="77777777" w:rsidTr="00E0198C">
        <w:tc>
          <w:tcPr>
            <w:tcW w:w="4508" w:type="dxa"/>
            <w:tcBorders>
              <w:top w:val="nil"/>
              <w:left w:val="single" w:sz="8" w:space="0" w:color="auto"/>
              <w:bottom w:val="single" w:sz="8" w:space="0" w:color="auto"/>
              <w:right w:val="single" w:sz="8" w:space="0" w:color="auto"/>
            </w:tcBorders>
          </w:tcPr>
          <w:p w14:paraId="5EF3E854" w14:textId="77777777" w:rsidR="001A6B4F" w:rsidRPr="00136397" w:rsidRDefault="001A6B4F" w:rsidP="00E0198C">
            <w:pPr>
              <w:numPr>
                <w:ilvl w:val="0"/>
                <w:numId w:val="1"/>
              </w:numPr>
              <w:spacing w:line="240" w:lineRule="auto"/>
              <w:contextualSpacing/>
              <w:rPr>
                <w:rFonts w:ascii="Poppins" w:eastAsia="Calibri" w:hAnsi="Poppins" w:cs="Poppins"/>
              </w:rPr>
            </w:pPr>
            <w:r w:rsidRPr="00136397">
              <w:rPr>
                <w:rFonts w:ascii="Poppins" w:eastAsia="Times New Roman" w:hAnsi="Poppins" w:cs="Poppins"/>
                <w:lang w:eastAsia="en-GB"/>
              </w:rPr>
              <w:t>Total amount spent by the authority on the investigation and prosecution of fraud.</w:t>
            </w:r>
          </w:p>
        </w:tc>
        <w:tc>
          <w:tcPr>
            <w:tcW w:w="4508" w:type="dxa"/>
            <w:tcBorders>
              <w:top w:val="nil"/>
              <w:left w:val="nil"/>
              <w:bottom w:val="single" w:sz="8" w:space="0" w:color="auto"/>
              <w:right w:val="single" w:sz="8" w:space="0" w:color="auto"/>
            </w:tcBorders>
          </w:tcPr>
          <w:p w14:paraId="4E24D593" w14:textId="77777777" w:rsidR="001A6B4F" w:rsidRPr="00136397" w:rsidRDefault="001A6B4F" w:rsidP="00E0198C">
            <w:pPr>
              <w:jc w:val="center"/>
              <w:rPr>
                <w:rFonts w:ascii="Poppins" w:eastAsia="Calibri" w:hAnsi="Poppins" w:cs="Poppins"/>
              </w:rPr>
            </w:pPr>
            <w:r>
              <w:rPr>
                <w:rFonts w:ascii="Poppins" w:eastAsia="Calibri" w:hAnsi="Poppins" w:cs="Poppins"/>
              </w:rPr>
              <w:t>£67,955</w:t>
            </w:r>
          </w:p>
        </w:tc>
      </w:tr>
      <w:tr w:rsidR="001A6B4F" w:rsidRPr="00136397" w14:paraId="38D9A940" w14:textId="77777777" w:rsidTr="00E0198C">
        <w:tc>
          <w:tcPr>
            <w:tcW w:w="4508" w:type="dxa"/>
            <w:tcBorders>
              <w:top w:val="nil"/>
              <w:left w:val="single" w:sz="8" w:space="0" w:color="auto"/>
              <w:bottom w:val="single" w:sz="8" w:space="0" w:color="auto"/>
              <w:right w:val="single" w:sz="8" w:space="0" w:color="auto"/>
            </w:tcBorders>
          </w:tcPr>
          <w:p w14:paraId="1EEECCAF" w14:textId="77777777" w:rsidR="001A6B4F" w:rsidRPr="00136397" w:rsidRDefault="001A6B4F" w:rsidP="00E0198C">
            <w:pPr>
              <w:numPr>
                <w:ilvl w:val="0"/>
                <w:numId w:val="1"/>
              </w:numPr>
              <w:spacing w:line="240" w:lineRule="auto"/>
              <w:contextualSpacing/>
              <w:rPr>
                <w:rFonts w:ascii="Poppins" w:eastAsia="Calibri" w:hAnsi="Poppins" w:cs="Poppins"/>
              </w:rPr>
            </w:pPr>
            <w:r w:rsidRPr="00136397">
              <w:rPr>
                <w:rFonts w:ascii="Poppins" w:eastAsia="Times New Roman" w:hAnsi="Poppins" w:cs="Poppins"/>
                <w:lang w:eastAsia="en-GB"/>
              </w:rPr>
              <w:t>Total number of fraud cases investigated.</w:t>
            </w:r>
          </w:p>
          <w:p w14:paraId="4A2F1C88" w14:textId="77777777" w:rsidR="001A6B4F" w:rsidRPr="00136397" w:rsidRDefault="001A6B4F" w:rsidP="00E0198C">
            <w:pPr>
              <w:ind w:left="360"/>
              <w:contextualSpacing/>
              <w:rPr>
                <w:rFonts w:ascii="Poppins" w:eastAsia="Calibri" w:hAnsi="Poppins" w:cs="Poppins"/>
              </w:rPr>
            </w:pPr>
          </w:p>
        </w:tc>
        <w:tc>
          <w:tcPr>
            <w:tcW w:w="4508" w:type="dxa"/>
            <w:tcBorders>
              <w:top w:val="nil"/>
              <w:left w:val="nil"/>
              <w:bottom w:val="single" w:sz="8" w:space="0" w:color="auto"/>
              <w:right w:val="single" w:sz="8" w:space="0" w:color="auto"/>
            </w:tcBorders>
          </w:tcPr>
          <w:p w14:paraId="0C6667C6" w14:textId="77777777" w:rsidR="001A6B4F" w:rsidRDefault="001A6B4F" w:rsidP="00E0198C">
            <w:pPr>
              <w:jc w:val="center"/>
              <w:rPr>
                <w:rFonts w:ascii="Poppins" w:eastAsia="Calibri" w:hAnsi="Poppins" w:cs="Poppins"/>
              </w:rPr>
            </w:pPr>
            <w:r>
              <w:rPr>
                <w:rFonts w:ascii="Poppins" w:eastAsia="Calibri" w:hAnsi="Poppins" w:cs="Poppins"/>
              </w:rPr>
              <w:t xml:space="preserve">51 </w:t>
            </w:r>
          </w:p>
          <w:p w14:paraId="4FA7CCA7" w14:textId="77777777" w:rsidR="001A6B4F" w:rsidRPr="00136397" w:rsidRDefault="001A6B4F" w:rsidP="00E0198C">
            <w:pPr>
              <w:jc w:val="center"/>
              <w:rPr>
                <w:rFonts w:ascii="Poppins" w:eastAsia="Calibri" w:hAnsi="Poppins" w:cs="Poppins"/>
              </w:rPr>
            </w:pPr>
          </w:p>
          <w:p w14:paraId="73630592" w14:textId="77777777" w:rsidR="001A6B4F" w:rsidRPr="00136397" w:rsidRDefault="001A6B4F" w:rsidP="00E0198C">
            <w:pPr>
              <w:rPr>
                <w:rFonts w:ascii="Poppins" w:eastAsia="Calibri" w:hAnsi="Poppins" w:cs="Poppins"/>
              </w:rPr>
            </w:pPr>
            <w:r w:rsidRPr="00136397">
              <w:rPr>
                <w:rFonts w:ascii="Poppins" w:eastAsia="Calibri" w:hAnsi="Poppins" w:cs="Poppins"/>
              </w:rPr>
              <w:t xml:space="preserve">(Plus, an additional </w:t>
            </w:r>
            <w:r>
              <w:rPr>
                <w:rFonts w:ascii="Poppins" w:eastAsia="Calibri" w:hAnsi="Poppins" w:cs="Poppins"/>
              </w:rPr>
              <w:t>899</w:t>
            </w:r>
            <w:r w:rsidRPr="00136397">
              <w:rPr>
                <w:rFonts w:ascii="Poppins" w:eastAsia="Calibri" w:hAnsi="Poppins" w:cs="Poppins"/>
              </w:rPr>
              <w:t xml:space="preserve"> from proactive exercises undertaken by the Authority)</w:t>
            </w:r>
          </w:p>
        </w:tc>
      </w:tr>
      <w:tr w:rsidR="001A6B4F" w:rsidRPr="00136397" w14:paraId="3F6D213D" w14:textId="77777777" w:rsidTr="00E0198C">
        <w:tc>
          <w:tcPr>
            <w:tcW w:w="4508" w:type="dxa"/>
          </w:tcPr>
          <w:p w14:paraId="113ED5CB" w14:textId="77777777" w:rsidR="001A6B4F" w:rsidRPr="00136397" w:rsidRDefault="001A6B4F" w:rsidP="00E0198C">
            <w:pPr>
              <w:numPr>
                <w:ilvl w:val="0"/>
                <w:numId w:val="1"/>
              </w:numPr>
              <w:spacing w:line="240" w:lineRule="auto"/>
              <w:contextualSpacing/>
              <w:rPr>
                <w:rFonts w:ascii="Poppins" w:eastAsia="Calibri" w:hAnsi="Poppins" w:cs="Poppins"/>
              </w:rPr>
            </w:pPr>
            <w:r w:rsidRPr="00136397">
              <w:rPr>
                <w:rFonts w:ascii="Poppins" w:eastAsia="Calibri" w:hAnsi="Poppins" w:cs="Poppins"/>
              </w:rPr>
              <w:t xml:space="preserve">Total number of occasions on which fraud was identified. </w:t>
            </w:r>
          </w:p>
          <w:p w14:paraId="329C828C" w14:textId="77777777" w:rsidR="001A6B4F" w:rsidRPr="00136397" w:rsidRDefault="001A6B4F" w:rsidP="00E0198C">
            <w:pPr>
              <w:rPr>
                <w:rFonts w:ascii="Poppins" w:eastAsia="Calibri" w:hAnsi="Poppins" w:cs="Poppins"/>
              </w:rPr>
            </w:pPr>
          </w:p>
        </w:tc>
        <w:tc>
          <w:tcPr>
            <w:tcW w:w="4508" w:type="dxa"/>
          </w:tcPr>
          <w:p w14:paraId="3948F85F" w14:textId="77777777" w:rsidR="001A6B4F" w:rsidRPr="00136397" w:rsidRDefault="001A6B4F" w:rsidP="00E0198C">
            <w:pPr>
              <w:jc w:val="center"/>
              <w:rPr>
                <w:rFonts w:ascii="Poppins" w:eastAsia="Calibri" w:hAnsi="Poppins" w:cs="Poppins"/>
              </w:rPr>
            </w:pPr>
            <w:r>
              <w:rPr>
                <w:rFonts w:ascii="Poppins" w:eastAsia="Calibri" w:hAnsi="Poppins" w:cs="Poppins"/>
              </w:rPr>
              <w:t>28</w:t>
            </w:r>
          </w:p>
        </w:tc>
      </w:tr>
      <w:tr w:rsidR="001A6B4F" w:rsidRPr="00136397" w14:paraId="366A229A" w14:textId="77777777" w:rsidTr="00E0198C">
        <w:tc>
          <w:tcPr>
            <w:tcW w:w="4508" w:type="dxa"/>
          </w:tcPr>
          <w:p w14:paraId="58A0FAFF" w14:textId="77777777" w:rsidR="001A6B4F" w:rsidRPr="00136397" w:rsidRDefault="001A6B4F" w:rsidP="00E0198C">
            <w:pPr>
              <w:numPr>
                <w:ilvl w:val="0"/>
                <w:numId w:val="1"/>
              </w:numPr>
              <w:spacing w:line="240" w:lineRule="auto"/>
              <w:contextualSpacing/>
              <w:rPr>
                <w:rFonts w:ascii="Poppins" w:eastAsia="Calibri" w:hAnsi="Poppins" w:cs="Poppins"/>
              </w:rPr>
            </w:pPr>
            <w:r w:rsidRPr="00136397">
              <w:rPr>
                <w:rFonts w:ascii="Poppins" w:eastAsia="Calibri" w:hAnsi="Poppins" w:cs="Poppins"/>
              </w:rPr>
              <w:t>Total monetary value of the fraud that was detected.</w:t>
            </w:r>
          </w:p>
          <w:p w14:paraId="32CA00AC" w14:textId="77777777" w:rsidR="001A6B4F" w:rsidRPr="00136397" w:rsidRDefault="001A6B4F" w:rsidP="00E0198C">
            <w:pPr>
              <w:rPr>
                <w:rFonts w:ascii="Poppins" w:eastAsia="Calibri" w:hAnsi="Poppins" w:cs="Poppins"/>
              </w:rPr>
            </w:pPr>
          </w:p>
        </w:tc>
        <w:tc>
          <w:tcPr>
            <w:tcW w:w="4508" w:type="dxa"/>
          </w:tcPr>
          <w:p w14:paraId="0A889FE1" w14:textId="77777777" w:rsidR="001A6B4F" w:rsidRPr="00136397" w:rsidRDefault="001A6B4F" w:rsidP="00E0198C">
            <w:pPr>
              <w:jc w:val="center"/>
              <w:rPr>
                <w:rFonts w:ascii="Poppins" w:eastAsia="Calibri" w:hAnsi="Poppins" w:cs="Poppins"/>
              </w:rPr>
            </w:pPr>
            <w:r>
              <w:rPr>
                <w:rFonts w:ascii="Poppins" w:eastAsia="Calibri" w:hAnsi="Poppins" w:cs="Poppins"/>
              </w:rPr>
              <w:t>£</w:t>
            </w:r>
            <w:r w:rsidRPr="004101AC">
              <w:rPr>
                <w:rFonts w:ascii="Poppins" w:eastAsia="Calibri" w:hAnsi="Poppins" w:cs="Poppins"/>
              </w:rPr>
              <w:t>728,267</w:t>
            </w:r>
          </w:p>
        </w:tc>
      </w:tr>
    </w:tbl>
    <w:p w14:paraId="20BE39B3" w14:textId="77777777" w:rsidR="001A6B4F" w:rsidRDefault="001A6B4F" w:rsidP="001A6B4F"/>
    <w:p w14:paraId="68DCE7FF" w14:textId="77777777" w:rsidR="005C0E39" w:rsidRDefault="005C0E39"/>
    <w:sectPr w:rsidR="005C0E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468C" w14:textId="77777777" w:rsidR="001A6B4F" w:rsidRDefault="001A6B4F" w:rsidP="001A6B4F">
      <w:pPr>
        <w:spacing w:after="0" w:line="240" w:lineRule="auto"/>
      </w:pPr>
      <w:r>
        <w:separator/>
      </w:r>
    </w:p>
  </w:endnote>
  <w:endnote w:type="continuationSeparator" w:id="0">
    <w:p w14:paraId="5ED337EB" w14:textId="77777777" w:rsidR="001A6B4F" w:rsidRDefault="001A6B4F" w:rsidP="001A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0BD47" w14:textId="77777777" w:rsidR="001A6B4F" w:rsidRDefault="001A6B4F" w:rsidP="001A6B4F">
      <w:pPr>
        <w:spacing w:after="0" w:line="240" w:lineRule="auto"/>
      </w:pPr>
      <w:r>
        <w:separator/>
      </w:r>
    </w:p>
  </w:footnote>
  <w:footnote w:type="continuationSeparator" w:id="0">
    <w:p w14:paraId="4223F9D8" w14:textId="77777777" w:rsidR="001A6B4F" w:rsidRDefault="001A6B4F" w:rsidP="001A6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5012" w14:textId="186184C7" w:rsidR="001A6B4F" w:rsidRPr="00136397" w:rsidRDefault="001A6B4F" w:rsidP="001A6B4F">
    <w:pPr>
      <w:tabs>
        <w:tab w:val="center" w:pos="4513"/>
        <w:tab w:val="right" w:pos="9026"/>
      </w:tabs>
      <w:spacing w:after="0" w:line="240" w:lineRule="auto"/>
      <w:rPr>
        <w:rFonts w:ascii="Poppins" w:eastAsia="Calibri" w:hAnsi="Poppins" w:cs="Poppins"/>
        <w:kern w:val="0"/>
        <w14:ligatures w14:val="none"/>
      </w:rPr>
    </w:pPr>
    <w:r w:rsidRPr="00136397">
      <w:rPr>
        <w:rFonts w:ascii="Poppins" w:eastAsia="Calibri" w:hAnsi="Poppins" w:cs="Poppins"/>
        <w:b/>
        <w:bCs/>
        <w:kern w:val="0"/>
        <w14:ligatures w14:val="none"/>
      </w:rPr>
      <w:t>North Tyneside Council Counter Fraud Transparency Information 202</w:t>
    </w:r>
    <w:r>
      <w:rPr>
        <w:rFonts w:ascii="Poppins" w:eastAsia="Calibri" w:hAnsi="Poppins" w:cs="Poppins"/>
        <w:b/>
        <w:bCs/>
        <w:kern w:val="0"/>
        <w14:ligatures w14:val="none"/>
      </w:rPr>
      <w:t>4</w:t>
    </w:r>
    <w:r w:rsidRPr="00136397">
      <w:rPr>
        <w:rFonts w:ascii="Poppins" w:eastAsia="Calibri" w:hAnsi="Poppins" w:cs="Poppins"/>
        <w:b/>
        <w:bCs/>
        <w:kern w:val="0"/>
        <w14:ligatures w14:val="none"/>
      </w:rPr>
      <w:t xml:space="preserve"> / 202</w:t>
    </w:r>
    <w:r>
      <w:rPr>
        <w:rFonts w:ascii="Poppins" w:eastAsia="Calibri" w:hAnsi="Poppins" w:cs="Poppins"/>
        <w:b/>
        <w:bCs/>
        <w:kern w:val="0"/>
        <w14:ligatures w14:val="none"/>
      </w:rPr>
      <w:t>5</w:t>
    </w:r>
    <w:r w:rsidRPr="00136397">
      <w:rPr>
        <w:rFonts w:ascii="Poppins" w:eastAsia="Calibri" w:hAnsi="Poppins" w:cs="Poppins"/>
        <w:b/>
        <w:bCs/>
        <w:kern w:val="0"/>
        <w14:ligatures w14:val="none"/>
      </w:rPr>
      <w:t xml:space="preserve"> </w:t>
    </w:r>
    <w:r w:rsidRPr="00136397">
      <w:rPr>
        <w:rFonts w:ascii="Poppins" w:eastAsia="Calibri" w:hAnsi="Poppins" w:cs="Poppins"/>
        <w:kern w:val="0"/>
        <w14:ligatures w14:val="none"/>
      </w:rPr>
      <w:t xml:space="preserve"> </w:t>
    </w:r>
  </w:p>
  <w:p w14:paraId="62DED054" w14:textId="5E665F43" w:rsidR="001A6B4F" w:rsidRDefault="001A6B4F">
    <w:pPr>
      <w:pStyle w:val="Header"/>
    </w:pPr>
  </w:p>
  <w:p w14:paraId="3AEB4510" w14:textId="77777777" w:rsidR="001A6B4F" w:rsidRDefault="001A6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97FFA"/>
    <w:multiLevelType w:val="hybridMultilevel"/>
    <w:tmpl w:val="7CE82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88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4F"/>
    <w:rsid w:val="00046147"/>
    <w:rsid w:val="001A6B4F"/>
    <w:rsid w:val="005C0E39"/>
    <w:rsid w:val="00BE4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A634"/>
  <w15:chartTrackingRefBased/>
  <w15:docId w15:val="{13164E25-0E3A-4453-92A5-9705B4E3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4F"/>
    <w:pPr>
      <w:spacing w:line="259" w:lineRule="auto"/>
    </w:pPr>
    <w:rPr>
      <w:sz w:val="22"/>
      <w:szCs w:val="22"/>
    </w:rPr>
  </w:style>
  <w:style w:type="paragraph" w:styleId="Heading1">
    <w:name w:val="heading 1"/>
    <w:basedOn w:val="Normal"/>
    <w:next w:val="Normal"/>
    <w:link w:val="Heading1Char"/>
    <w:uiPriority w:val="9"/>
    <w:qFormat/>
    <w:rsid w:val="001A6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B4F"/>
    <w:rPr>
      <w:rFonts w:eastAsiaTheme="majorEastAsia" w:cstheme="majorBidi"/>
      <w:color w:val="272727" w:themeColor="text1" w:themeTint="D8"/>
    </w:rPr>
  </w:style>
  <w:style w:type="paragraph" w:styleId="Title">
    <w:name w:val="Title"/>
    <w:basedOn w:val="Normal"/>
    <w:next w:val="Normal"/>
    <w:link w:val="TitleChar"/>
    <w:uiPriority w:val="10"/>
    <w:qFormat/>
    <w:rsid w:val="001A6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B4F"/>
    <w:pPr>
      <w:spacing w:before="160"/>
      <w:jc w:val="center"/>
    </w:pPr>
    <w:rPr>
      <w:i/>
      <w:iCs/>
      <w:color w:val="404040" w:themeColor="text1" w:themeTint="BF"/>
    </w:rPr>
  </w:style>
  <w:style w:type="character" w:customStyle="1" w:styleId="QuoteChar">
    <w:name w:val="Quote Char"/>
    <w:basedOn w:val="DefaultParagraphFont"/>
    <w:link w:val="Quote"/>
    <w:uiPriority w:val="29"/>
    <w:rsid w:val="001A6B4F"/>
    <w:rPr>
      <w:i/>
      <w:iCs/>
      <w:color w:val="404040" w:themeColor="text1" w:themeTint="BF"/>
    </w:rPr>
  </w:style>
  <w:style w:type="paragraph" w:styleId="ListParagraph">
    <w:name w:val="List Paragraph"/>
    <w:basedOn w:val="Normal"/>
    <w:uiPriority w:val="34"/>
    <w:qFormat/>
    <w:rsid w:val="001A6B4F"/>
    <w:pPr>
      <w:ind w:left="720"/>
      <w:contextualSpacing/>
    </w:pPr>
  </w:style>
  <w:style w:type="character" w:styleId="IntenseEmphasis">
    <w:name w:val="Intense Emphasis"/>
    <w:basedOn w:val="DefaultParagraphFont"/>
    <w:uiPriority w:val="21"/>
    <w:qFormat/>
    <w:rsid w:val="001A6B4F"/>
    <w:rPr>
      <w:i/>
      <w:iCs/>
      <w:color w:val="0F4761" w:themeColor="accent1" w:themeShade="BF"/>
    </w:rPr>
  </w:style>
  <w:style w:type="paragraph" w:styleId="IntenseQuote">
    <w:name w:val="Intense Quote"/>
    <w:basedOn w:val="Normal"/>
    <w:next w:val="Normal"/>
    <w:link w:val="IntenseQuoteChar"/>
    <w:uiPriority w:val="30"/>
    <w:qFormat/>
    <w:rsid w:val="001A6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B4F"/>
    <w:rPr>
      <w:i/>
      <w:iCs/>
      <w:color w:val="0F4761" w:themeColor="accent1" w:themeShade="BF"/>
    </w:rPr>
  </w:style>
  <w:style w:type="character" w:styleId="IntenseReference">
    <w:name w:val="Intense Reference"/>
    <w:basedOn w:val="DefaultParagraphFont"/>
    <w:uiPriority w:val="32"/>
    <w:qFormat/>
    <w:rsid w:val="001A6B4F"/>
    <w:rPr>
      <w:b/>
      <w:bCs/>
      <w:smallCaps/>
      <w:color w:val="0F4761" w:themeColor="accent1" w:themeShade="BF"/>
      <w:spacing w:val="5"/>
    </w:rPr>
  </w:style>
  <w:style w:type="table" w:customStyle="1" w:styleId="TableGrid1">
    <w:name w:val="Table Grid1"/>
    <w:basedOn w:val="TableNormal"/>
    <w:next w:val="TableGrid"/>
    <w:uiPriority w:val="39"/>
    <w:rsid w:val="001A6B4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B4F"/>
    <w:rPr>
      <w:sz w:val="22"/>
      <w:szCs w:val="22"/>
    </w:rPr>
  </w:style>
  <w:style w:type="paragraph" w:styleId="Footer">
    <w:name w:val="footer"/>
    <w:basedOn w:val="Normal"/>
    <w:link w:val="FooterChar"/>
    <w:uiPriority w:val="99"/>
    <w:unhideWhenUsed/>
    <w:rsid w:val="001A6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B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743</Characters>
  <Application>Microsoft Office Word</Application>
  <DocSecurity>0</DocSecurity>
  <Lines>6</Lines>
  <Paragraphs>1</Paragraphs>
  <ScaleCrop>false</ScaleCrop>
  <Company>NTC</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Dutton</dc:creator>
  <cp:keywords/>
  <dc:description/>
  <cp:lastModifiedBy>Robert Dutton</cp:lastModifiedBy>
  <cp:revision>1</cp:revision>
  <dcterms:created xsi:type="dcterms:W3CDTF">2025-07-31T08:12:00Z</dcterms:created>
  <dcterms:modified xsi:type="dcterms:W3CDTF">2025-07-31T08:14:00Z</dcterms:modified>
</cp:coreProperties>
</file>