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A1DED" w14:textId="3BF92B32" w:rsidR="003A7AAC" w:rsidRDefault="00655073" w:rsidP="004903FF">
      <w:pPr>
        <w:spacing w:after="240"/>
      </w:pPr>
      <w:bookmarkStart w:id="0" w:name="_Toc178258655"/>
      <w:bookmarkStart w:id="1" w:name="_Toc178320183"/>
      <w:bookmarkStart w:id="2" w:name="_Toc180660514"/>
      <w:bookmarkStart w:id="3" w:name="_Toc180761885"/>
      <w:r w:rsidRPr="00655073">
        <w:rPr>
          <w:rFonts w:eastAsia="Calibri" w:cs="Poppins"/>
          <w:noProof/>
          <w:color w:val="000000"/>
          <w:kern w:val="0"/>
          <w14:ligatures w14:val="none"/>
        </w:rPr>
        <w:drawing>
          <wp:anchor distT="0" distB="0" distL="114300" distR="114300" simplePos="0" relativeHeight="251661311" behindDoc="1" locked="0" layoutInCell="1" allowOverlap="1" wp14:anchorId="2EE08EA0" wp14:editId="12574897">
            <wp:simplePos x="0" y="0"/>
            <wp:positionH relativeFrom="margin">
              <wp:align>center</wp:align>
            </wp:positionH>
            <wp:positionV relativeFrom="paragraph">
              <wp:posOffset>-1458172</wp:posOffset>
            </wp:positionV>
            <wp:extent cx="7584442" cy="10720800"/>
            <wp:effectExtent l="0" t="0" r="0" b="4445"/>
            <wp:wrapNone/>
            <wp:docPr id="1" name="Picture 1"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4442" cy="10720800"/>
                    </a:xfrm>
                    <a:prstGeom prst="rect">
                      <a:avLst/>
                    </a:prstGeom>
                  </pic:spPr>
                </pic:pic>
              </a:graphicData>
            </a:graphic>
            <wp14:sizeRelH relativeFrom="page">
              <wp14:pctWidth>0</wp14:pctWidth>
            </wp14:sizeRelH>
            <wp14:sizeRelV relativeFrom="page">
              <wp14:pctHeight>0</wp14:pctHeight>
            </wp14:sizeRelV>
          </wp:anchor>
        </w:drawing>
      </w:r>
      <w:r w:rsidR="00A254F7" w:rsidRPr="00492A56">
        <w:rPr>
          <w:b/>
          <w:bCs/>
          <w:sz w:val="32"/>
          <w:szCs w:val="32"/>
        </w:rPr>
        <w:t xml:space="preserve"> </w:t>
      </w:r>
      <w:bookmarkEnd w:id="0"/>
      <w:bookmarkEnd w:id="1"/>
      <w:bookmarkEnd w:id="2"/>
      <w:bookmarkEnd w:id="3"/>
    </w:p>
    <w:p w14:paraId="677BE155" w14:textId="7F7E6B9F" w:rsidR="00B76687" w:rsidRDefault="00B76687" w:rsidP="004903FF">
      <w:pPr>
        <w:spacing w:after="240"/>
        <w:rPr>
          <w:rFonts w:cs="Poppins"/>
        </w:rPr>
      </w:pPr>
    </w:p>
    <w:p w14:paraId="06CBAEDD" w14:textId="3F511D2C" w:rsidR="00492A56" w:rsidRDefault="00655073" w:rsidP="004903FF">
      <w:pPr>
        <w:spacing w:after="240"/>
        <w:rPr>
          <w:rFonts w:cs="Poppins"/>
        </w:rPr>
      </w:pPr>
      <w:r w:rsidRPr="00655073">
        <w:rPr>
          <w:rFonts w:eastAsia="Calibri" w:cs="Poppins"/>
          <w:noProof/>
          <w:color w:val="000000"/>
          <w:kern w:val="0"/>
          <w14:ligatures w14:val="none"/>
        </w:rPr>
        <mc:AlternateContent>
          <mc:Choice Requires="wps">
            <w:drawing>
              <wp:anchor distT="0" distB="0" distL="114300" distR="114300" simplePos="0" relativeHeight="251754496" behindDoc="0" locked="0" layoutInCell="1" allowOverlap="1" wp14:anchorId="62A95E6A" wp14:editId="25D909BC">
                <wp:simplePos x="0" y="0"/>
                <wp:positionH relativeFrom="column">
                  <wp:posOffset>-482812</wp:posOffset>
                </wp:positionH>
                <wp:positionV relativeFrom="paragraph">
                  <wp:posOffset>4776470</wp:posOffset>
                </wp:positionV>
                <wp:extent cx="4953000" cy="2387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953000" cy="2387600"/>
                        </a:xfrm>
                        <a:prstGeom prst="rect">
                          <a:avLst/>
                        </a:prstGeom>
                        <a:noFill/>
                        <a:ln w="6350">
                          <a:noFill/>
                        </a:ln>
                      </wps:spPr>
                      <wps:txbx>
                        <w:txbxContent>
                          <w:p w14:paraId="36B14DC5" w14:textId="6F04F9AD" w:rsidR="00655073" w:rsidRPr="00655073" w:rsidRDefault="00655073" w:rsidP="00655073">
                            <w:pPr>
                              <w:rPr>
                                <w:b/>
                                <w:bCs/>
                                <w:color w:val="FFFFFF" w:themeColor="background1"/>
                                <w:sz w:val="48"/>
                                <w:szCs w:val="48"/>
                              </w:rPr>
                            </w:pPr>
                            <w:r w:rsidRPr="00655073">
                              <w:rPr>
                                <w:b/>
                                <w:bCs/>
                                <w:color w:val="FFFFFF" w:themeColor="background1"/>
                                <w:sz w:val="48"/>
                                <w:szCs w:val="48"/>
                              </w:rPr>
                              <w:t>Local Plan Policy</w:t>
                            </w:r>
                            <w:r w:rsidR="00FF34DD">
                              <w:rPr>
                                <w:b/>
                                <w:bCs/>
                                <w:color w:val="FFFFFF" w:themeColor="background1"/>
                                <w:sz w:val="48"/>
                                <w:szCs w:val="48"/>
                              </w:rPr>
                              <w:t xml:space="preserve">: </w:t>
                            </w:r>
                            <w:r w:rsidR="00FF34DD" w:rsidRPr="00655073">
                              <w:rPr>
                                <w:b/>
                                <w:bCs/>
                                <w:color w:val="FFFFFF" w:themeColor="background1"/>
                                <w:sz w:val="48"/>
                                <w:szCs w:val="48"/>
                              </w:rPr>
                              <w:t>Hot Food Takeaway</w:t>
                            </w:r>
                            <w:r w:rsidR="00FF34DD">
                              <w:rPr>
                                <w:b/>
                                <w:bCs/>
                                <w:color w:val="FFFFFF" w:themeColor="background1"/>
                                <w:sz w:val="48"/>
                                <w:szCs w:val="48"/>
                              </w:rPr>
                              <w:t xml:space="preserve">s </w:t>
                            </w:r>
                            <w:r w:rsidRPr="00655073">
                              <w:rPr>
                                <w:b/>
                                <w:bCs/>
                                <w:color w:val="FFFFFF" w:themeColor="background1"/>
                                <w:sz w:val="48"/>
                                <w:szCs w:val="48"/>
                              </w:rPr>
                              <w:t>Review</w:t>
                            </w:r>
                          </w:p>
                          <w:p w14:paraId="719F3D2C" w14:textId="77A8AEF5" w:rsidR="00655073" w:rsidRDefault="00655073" w:rsidP="00655073">
                            <w:pPr>
                              <w:rPr>
                                <w:color w:val="FFFFFF"/>
                                <w:sz w:val="44"/>
                                <w:szCs w:val="44"/>
                              </w:rPr>
                            </w:pPr>
                          </w:p>
                          <w:p w14:paraId="286EDBDF" w14:textId="342A4455" w:rsidR="00655073" w:rsidRPr="00E05929" w:rsidRDefault="0035459C" w:rsidP="00655073">
                            <w:pPr>
                              <w:rPr>
                                <w:color w:val="002060"/>
                                <w:sz w:val="44"/>
                                <w:szCs w:val="44"/>
                              </w:rPr>
                            </w:pPr>
                            <w:r>
                              <w:rPr>
                                <w:color w:val="FFFFFF"/>
                                <w:sz w:val="44"/>
                                <w:szCs w:val="44"/>
                              </w:rPr>
                              <w:t>August</w:t>
                            </w:r>
                            <w:r w:rsidR="00655073">
                              <w:rPr>
                                <w:color w:val="FFFFFF"/>
                                <w:sz w:val="44"/>
                                <w:szCs w:val="44"/>
                              </w:rPr>
                              <w:t xml:space="preserve"> 202</w:t>
                            </w:r>
                            <w:r w:rsidR="0035773F">
                              <w:rPr>
                                <w:color w:val="FFFFFF"/>
                                <w:sz w:val="44"/>
                                <w:szCs w:val="44"/>
                              </w:rPr>
                              <w:t>5</w:t>
                            </w:r>
                          </w:p>
                          <w:p w14:paraId="04FAB08E" w14:textId="77777777" w:rsidR="00655073" w:rsidRPr="00E05929" w:rsidRDefault="00655073" w:rsidP="00655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95E6A" id="_x0000_t202" coordsize="21600,21600" o:spt="202" path="m,l,21600r21600,l21600,xe">
                <v:stroke joinstyle="miter"/>
                <v:path gradientshapeok="t" o:connecttype="rect"/>
              </v:shapetype>
              <v:shape id="Text Box 2" o:spid="_x0000_s1026" type="#_x0000_t202" style="position:absolute;margin-left:-38pt;margin-top:376.1pt;width:390pt;height:1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" filled="f" stroked="f" strokeweight=".5pt">
                <v:textbox>
                  <w:txbxContent>
                    <w:p w14:paraId="36B14DC5" w14:textId="6F04F9AD" w:rsidR="00655073" w:rsidRPr="00655073" w:rsidRDefault="00655073" w:rsidP="00655073">
                      <w:pPr>
                        <w:rPr>
                          <w:b/>
                          <w:bCs/>
                          <w:color w:val="FFFFFF" w:themeColor="background1"/>
                          <w:sz w:val="48"/>
                          <w:szCs w:val="48"/>
                        </w:rPr>
                      </w:pPr>
                      <w:r w:rsidRPr="00655073">
                        <w:rPr>
                          <w:b/>
                          <w:bCs/>
                          <w:color w:val="FFFFFF" w:themeColor="background1"/>
                          <w:sz w:val="48"/>
                          <w:szCs w:val="48"/>
                        </w:rPr>
                        <w:t>Local Plan Policy</w:t>
                      </w:r>
                      <w:r w:rsidR="00FF34DD">
                        <w:rPr>
                          <w:b/>
                          <w:bCs/>
                          <w:color w:val="FFFFFF" w:themeColor="background1"/>
                          <w:sz w:val="48"/>
                          <w:szCs w:val="48"/>
                        </w:rPr>
                        <w:t xml:space="preserve">: </w:t>
                      </w:r>
                      <w:r w:rsidR="00FF34DD" w:rsidRPr="00655073">
                        <w:rPr>
                          <w:b/>
                          <w:bCs/>
                          <w:color w:val="FFFFFF" w:themeColor="background1"/>
                          <w:sz w:val="48"/>
                          <w:szCs w:val="48"/>
                        </w:rPr>
                        <w:t>Hot Food Takeaway</w:t>
                      </w:r>
                      <w:r w:rsidR="00FF34DD">
                        <w:rPr>
                          <w:b/>
                          <w:bCs/>
                          <w:color w:val="FFFFFF" w:themeColor="background1"/>
                          <w:sz w:val="48"/>
                          <w:szCs w:val="48"/>
                        </w:rPr>
                        <w:t xml:space="preserve">s </w:t>
                      </w:r>
                      <w:r w:rsidRPr="00655073">
                        <w:rPr>
                          <w:b/>
                          <w:bCs/>
                          <w:color w:val="FFFFFF" w:themeColor="background1"/>
                          <w:sz w:val="48"/>
                          <w:szCs w:val="48"/>
                        </w:rPr>
                        <w:t>Review</w:t>
                      </w:r>
                    </w:p>
                    <w:p w14:paraId="719F3D2C" w14:textId="77A8AEF5" w:rsidR="00655073" w:rsidRDefault="00655073" w:rsidP="00655073">
                      <w:pPr>
                        <w:rPr>
                          <w:color w:val="FFFFFF"/>
                          <w:sz w:val="44"/>
                          <w:szCs w:val="44"/>
                        </w:rPr>
                      </w:pPr>
                    </w:p>
                    <w:p w14:paraId="286EDBDF" w14:textId="342A4455" w:rsidR="00655073" w:rsidRPr="00E05929" w:rsidRDefault="0035459C" w:rsidP="00655073">
                      <w:pPr>
                        <w:rPr>
                          <w:color w:val="002060"/>
                          <w:sz w:val="44"/>
                          <w:szCs w:val="44"/>
                        </w:rPr>
                      </w:pPr>
                      <w:r>
                        <w:rPr>
                          <w:color w:val="FFFFFF"/>
                          <w:sz w:val="44"/>
                          <w:szCs w:val="44"/>
                        </w:rPr>
                        <w:t>August</w:t>
                      </w:r>
                      <w:r w:rsidR="00655073">
                        <w:rPr>
                          <w:color w:val="FFFFFF"/>
                          <w:sz w:val="44"/>
                          <w:szCs w:val="44"/>
                        </w:rPr>
                        <w:t xml:space="preserve"> 202</w:t>
                      </w:r>
                      <w:r w:rsidR="0035773F">
                        <w:rPr>
                          <w:color w:val="FFFFFF"/>
                          <w:sz w:val="44"/>
                          <w:szCs w:val="44"/>
                        </w:rPr>
                        <w:t>5</w:t>
                      </w:r>
                    </w:p>
                    <w:p w14:paraId="04FAB08E" w14:textId="77777777" w:rsidR="00655073" w:rsidRPr="00E05929" w:rsidRDefault="00655073" w:rsidP="00655073"/>
                  </w:txbxContent>
                </v:textbox>
                <w10:wrap type="square"/>
              </v:shape>
            </w:pict>
          </mc:Fallback>
        </mc:AlternateContent>
      </w:r>
      <w:r w:rsidR="003A7AAC">
        <w:rPr>
          <w:rFonts w:cs="Poppins"/>
        </w:rPr>
        <w:br w:type="page"/>
      </w:r>
      <w:bookmarkStart w:id="4" w:name="_Toc178320185"/>
      <w:bookmarkStart w:id="5" w:name="_Toc180660516"/>
    </w:p>
    <w:p w14:paraId="51F11616" w14:textId="253EC860" w:rsidR="00492A56" w:rsidRDefault="00492A56" w:rsidP="004903FF">
      <w:pPr>
        <w:spacing w:after="240"/>
        <w:rPr>
          <w:rFonts w:cs="Poppins"/>
          <w:b/>
          <w:bCs/>
          <w:sz w:val="28"/>
          <w:szCs w:val="28"/>
        </w:rPr>
      </w:pPr>
      <w:r w:rsidRPr="00492A56">
        <w:rPr>
          <w:rFonts w:cs="Poppins"/>
          <w:b/>
          <w:bCs/>
          <w:sz w:val="28"/>
          <w:szCs w:val="28"/>
        </w:rPr>
        <w:lastRenderedPageBreak/>
        <w:t>Contents</w:t>
      </w:r>
    </w:p>
    <w:p w14:paraId="1B96A5EB" w14:textId="197E2AD0"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r>
        <w:rPr>
          <w:rFonts w:cs="Poppins"/>
          <w:b/>
          <w:bCs/>
          <w:sz w:val="28"/>
          <w:szCs w:val="28"/>
        </w:rPr>
        <w:fldChar w:fldCharType="begin"/>
      </w:r>
      <w:r>
        <w:rPr>
          <w:rFonts w:cs="Poppins"/>
          <w:b/>
          <w:bCs/>
          <w:sz w:val="28"/>
          <w:szCs w:val="28"/>
        </w:rPr>
        <w:instrText xml:space="preserve"> TOC \o "1-3" \h \z \u </w:instrText>
      </w:r>
      <w:r>
        <w:rPr>
          <w:rFonts w:cs="Poppins"/>
          <w:b/>
          <w:bCs/>
          <w:sz w:val="28"/>
          <w:szCs w:val="28"/>
        </w:rPr>
        <w:fldChar w:fldCharType="separate"/>
      </w:r>
      <w:hyperlink w:anchor="_Toc180762264" w:history="1">
        <w:r w:rsidRPr="00445BBC">
          <w:rPr>
            <w:rStyle w:val="Hyperlink"/>
            <w:rFonts w:cs="Poppins"/>
            <w:b/>
            <w:bCs/>
            <w:noProof/>
          </w:rPr>
          <w:t>1.</w:t>
        </w:r>
        <w:r>
          <w:rPr>
            <w:rFonts w:asciiTheme="minorHAnsi" w:eastAsiaTheme="minorEastAsia" w:hAnsiTheme="minorHAnsi"/>
            <w:noProof/>
            <w:szCs w:val="24"/>
            <w:lang w:eastAsia="en-GB"/>
          </w:rPr>
          <w:tab/>
        </w:r>
        <w:r w:rsidRPr="00445BBC">
          <w:rPr>
            <w:rStyle w:val="Hyperlink"/>
            <w:rFonts w:cs="Poppins"/>
            <w:b/>
            <w:bCs/>
            <w:noProof/>
          </w:rPr>
          <w:t>Introduction</w:t>
        </w:r>
        <w:r>
          <w:rPr>
            <w:noProof/>
            <w:webHidden/>
          </w:rPr>
          <w:tab/>
        </w:r>
        <w:r>
          <w:rPr>
            <w:noProof/>
            <w:webHidden/>
          </w:rPr>
          <w:fldChar w:fldCharType="begin"/>
        </w:r>
        <w:r>
          <w:rPr>
            <w:noProof/>
            <w:webHidden/>
          </w:rPr>
          <w:instrText xml:space="preserve"> PAGEREF _Toc180762264 \h </w:instrText>
        </w:r>
        <w:r>
          <w:rPr>
            <w:noProof/>
            <w:webHidden/>
          </w:rPr>
        </w:r>
        <w:r>
          <w:rPr>
            <w:noProof/>
            <w:webHidden/>
          </w:rPr>
          <w:fldChar w:fldCharType="separate"/>
        </w:r>
        <w:r w:rsidR="00BF08DE">
          <w:rPr>
            <w:noProof/>
            <w:webHidden/>
          </w:rPr>
          <w:t>3</w:t>
        </w:r>
        <w:r>
          <w:rPr>
            <w:noProof/>
            <w:webHidden/>
          </w:rPr>
          <w:fldChar w:fldCharType="end"/>
        </w:r>
      </w:hyperlink>
    </w:p>
    <w:p w14:paraId="7D67D83F" w14:textId="4D1FACE7"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hyperlink w:anchor="_Toc180762265" w:history="1">
        <w:r w:rsidRPr="00445BBC">
          <w:rPr>
            <w:rStyle w:val="Hyperlink"/>
            <w:rFonts w:cs="Poppins"/>
            <w:b/>
            <w:bCs/>
            <w:noProof/>
          </w:rPr>
          <w:t>2.</w:t>
        </w:r>
        <w:r>
          <w:rPr>
            <w:rFonts w:asciiTheme="minorHAnsi" w:eastAsiaTheme="minorEastAsia" w:hAnsiTheme="minorHAnsi"/>
            <w:noProof/>
            <w:szCs w:val="24"/>
            <w:lang w:eastAsia="en-GB"/>
          </w:rPr>
          <w:tab/>
        </w:r>
        <w:r w:rsidRPr="00445BBC">
          <w:rPr>
            <w:rStyle w:val="Hyperlink"/>
            <w:rFonts w:cs="Poppins"/>
            <w:b/>
            <w:bCs/>
            <w:noProof/>
          </w:rPr>
          <w:t>Background</w:t>
        </w:r>
        <w:r>
          <w:rPr>
            <w:noProof/>
            <w:webHidden/>
          </w:rPr>
          <w:tab/>
        </w:r>
        <w:r>
          <w:rPr>
            <w:noProof/>
            <w:webHidden/>
          </w:rPr>
          <w:fldChar w:fldCharType="begin"/>
        </w:r>
        <w:r>
          <w:rPr>
            <w:noProof/>
            <w:webHidden/>
          </w:rPr>
          <w:instrText xml:space="preserve"> PAGEREF _Toc180762265 \h </w:instrText>
        </w:r>
        <w:r>
          <w:rPr>
            <w:noProof/>
            <w:webHidden/>
          </w:rPr>
          <w:fldChar w:fldCharType="separate"/>
        </w:r>
        <w:r w:rsidR="00BF08DE">
          <w:rPr>
            <w:b/>
            <w:bCs/>
            <w:noProof/>
            <w:webHidden/>
          </w:rPr>
          <w:t>Error! Bookmark not defined.</w:t>
        </w:r>
        <w:r>
          <w:rPr>
            <w:noProof/>
            <w:webHidden/>
          </w:rPr>
          <w:fldChar w:fldCharType="end"/>
        </w:r>
      </w:hyperlink>
    </w:p>
    <w:p w14:paraId="13DFEBB7" w14:textId="435B6AC7"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hyperlink w:anchor="_Toc180762266" w:history="1">
        <w:r w:rsidRPr="00445BBC">
          <w:rPr>
            <w:rStyle w:val="Hyperlink"/>
            <w:rFonts w:cs="Poppins"/>
            <w:b/>
            <w:bCs/>
            <w:noProof/>
          </w:rPr>
          <w:t>3.</w:t>
        </w:r>
        <w:r>
          <w:rPr>
            <w:rFonts w:asciiTheme="minorHAnsi" w:eastAsiaTheme="minorEastAsia" w:hAnsiTheme="minorHAnsi"/>
            <w:noProof/>
            <w:szCs w:val="24"/>
            <w:lang w:eastAsia="en-GB"/>
          </w:rPr>
          <w:tab/>
        </w:r>
        <w:r w:rsidRPr="00445BBC">
          <w:rPr>
            <w:rStyle w:val="Hyperlink"/>
            <w:rFonts w:cs="Poppins"/>
            <w:b/>
            <w:bCs/>
            <w:noProof/>
          </w:rPr>
          <w:t>National Guidance</w:t>
        </w:r>
        <w:r>
          <w:rPr>
            <w:noProof/>
            <w:webHidden/>
          </w:rPr>
          <w:tab/>
        </w:r>
        <w:r>
          <w:rPr>
            <w:noProof/>
            <w:webHidden/>
          </w:rPr>
          <w:fldChar w:fldCharType="begin"/>
        </w:r>
        <w:r>
          <w:rPr>
            <w:noProof/>
            <w:webHidden/>
          </w:rPr>
          <w:instrText xml:space="preserve"> PAGEREF _Toc180762266 \h </w:instrText>
        </w:r>
        <w:r>
          <w:rPr>
            <w:noProof/>
            <w:webHidden/>
          </w:rPr>
          <w:fldChar w:fldCharType="separate"/>
        </w:r>
        <w:r w:rsidR="00BF08DE">
          <w:rPr>
            <w:b/>
            <w:bCs/>
            <w:noProof/>
            <w:webHidden/>
          </w:rPr>
          <w:t>Error! Bookmark not defined.</w:t>
        </w:r>
        <w:r>
          <w:rPr>
            <w:noProof/>
            <w:webHidden/>
          </w:rPr>
          <w:fldChar w:fldCharType="end"/>
        </w:r>
      </w:hyperlink>
    </w:p>
    <w:p w14:paraId="106284A7" w14:textId="43E0AE82"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hyperlink w:anchor="_Toc180762267" w:history="1">
        <w:r w:rsidRPr="00445BBC">
          <w:rPr>
            <w:rStyle w:val="Hyperlink"/>
            <w:rFonts w:cs="Poppins"/>
            <w:b/>
            <w:bCs/>
            <w:noProof/>
          </w:rPr>
          <w:t>4.</w:t>
        </w:r>
        <w:r>
          <w:rPr>
            <w:rFonts w:asciiTheme="minorHAnsi" w:eastAsiaTheme="minorEastAsia" w:hAnsiTheme="minorHAnsi"/>
            <w:noProof/>
            <w:szCs w:val="24"/>
            <w:lang w:eastAsia="en-GB"/>
          </w:rPr>
          <w:tab/>
        </w:r>
        <w:r w:rsidRPr="00445BBC">
          <w:rPr>
            <w:rStyle w:val="Hyperlink"/>
            <w:rFonts w:cs="Poppins"/>
            <w:b/>
            <w:bCs/>
            <w:noProof/>
          </w:rPr>
          <w:t>Planning Policy Context</w:t>
        </w:r>
        <w:r>
          <w:rPr>
            <w:noProof/>
            <w:webHidden/>
          </w:rPr>
          <w:tab/>
        </w:r>
        <w:r>
          <w:rPr>
            <w:noProof/>
            <w:webHidden/>
          </w:rPr>
          <w:fldChar w:fldCharType="begin"/>
        </w:r>
        <w:r>
          <w:rPr>
            <w:noProof/>
            <w:webHidden/>
          </w:rPr>
          <w:instrText xml:space="preserve"> PAGEREF _Toc180762267 \h </w:instrText>
        </w:r>
        <w:r>
          <w:rPr>
            <w:noProof/>
            <w:webHidden/>
          </w:rPr>
        </w:r>
        <w:r>
          <w:rPr>
            <w:noProof/>
            <w:webHidden/>
          </w:rPr>
          <w:fldChar w:fldCharType="separate"/>
        </w:r>
        <w:r w:rsidR="00BF08DE">
          <w:rPr>
            <w:noProof/>
            <w:webHidden/>
          </w:rPr>
          <w:t>4</w:t>
        </w:r>
        <w:r>
          <w:rPr>
            <w:noProof/>
            <w:webHidden/>
          </w:rPr>
          <w:fldChar w:fldCharType="end"/>
        </w:r>
      </w:hyperlink>
    </w:p>
    <w:p w14:paraId="2E87C4D9" w14:textId="3AB25CF6" w:rsidR="00492A56" w:rsidRPr="00A84BF3" w:rsidRDefault="00492A56" w:rsidP="00121135">
      <w:pPr>
        <w:pStyle w:val="TOC3"/>
        <w:spacing w:after="0"/>
        <w:rPr>
          <w:rFonts w:asciiTheme="minorHAnsi" w:eastAsiaTheme="minorEastAsia" w:hAnsiTheme="minorHAnsi"/>
          <w:noProof/>
          <w:szCs w:val="24"/>
          <w:lang w:eastAsia="en-GB"/>
        </w:rPr>
      </w:pPr>
      <w:hyperlink w:anchor="_Toc180762268" w:history="1">
        <w:r w:rsidRPr="00A84BF3">
          <w:rPr>
            <w:rStyle w:val="Hyperlink"/>
            <w:rFonts w:cs="Poppins"/>
            <w:noProof/>
          </w:rPr>
          <w:t>National</w:t>
        </w:r>
        <w:r w:rsidRPr="00A84BF3">
          <w:rPr>
            <w:noProof/>
            <w:webHidden/>
          </w:rPr>
          <w:tab/>
        </w:r>
        <w:r w:rsidRPr="00A84BF3">
          <w:rPr>
            <w:noProof/>
            <w:webHidden/>
          </w:rPr>
          <w:fldChar w:fldCharType="begin"/>
        </w:r>
        <w:r w:rsidRPr="00A84BF3">
          <w:rPr>
            <w:noProof/>
            <w:webHidden/>
          </w:rPr>
          <w:instrText xml:space="preserve"> PAGEREF _Toc180762268 \h </w:instrText>
        </w:r>
        <w:r w:rsidRPr="00A84BF3">
          <w:rPr>
            <w:noProof/>
            <w:webHidden/>
          </w:rPr>
          <w:fldChar w:fldCharType="separate"/>
        </w:r>
        <w:r w:rsidR="00BF08DE">
          <w:rPr>
            <w:b/>
            <w:bCs/>
            <w:noProof/>
            <w:webHidden/>
          </w:rPr>
          <w:t>Error! Bookmark not defined.</w:t>
        </w:r>
        <w:r w:rsidRPr="00A84BF3">
          <w:rPr>
            <w:noProof/>
            <w:webHidden/>
          </w:rPr>
          <w:fldChar w:fldCharType="end"/>
        </w:r>
      </w:hyperlink>
    </w:p>
    <w:p w14:paraId="29978BEE" w14:textId="7F119607" w:rsidR="00492A56" w:rsidRPr="00A84BF3" w:rsidRDefault="00492A56" w:rsidP="00121135">
      <w:pPr>
        <w:pStyle w:val="TOC3"/>
        <w:spacing w:after="0"/>
        <w:rPr>
          <w:rFonts w:asciiTheme="minorHAnsi" w:eastAsiaTheme="minorEastAsia" w:hAnsiTheme="minorHAnsi"/>
          <w:noProof/>
          <w:szCs w:val="24"/>
          <w:lang w:eastAsia="en-GB"/>
        </w:rPr>
      </w:pPr>
      <w:hyperlink w:anchor="_Toc180762269" w:history="1">
        <w:r w:rsidRPr="00A84BF3">
          <w:rPr>
            <w:rStyle w:val="Hyperlink"/>
            <w:rFonts w:cs="Poppins"/>
            <w:noProof/>
          </w:rPr>
          <w:t>Local</w:t>
        </w:r>
        <w:r w:rsidRPr="00A84BF3">
          <w:rPr>
            <w:noProof/>
            <w:webHidden/>
          </w:rPr>
          <w:tab/>
        </w:r>
        <w:r w:rsidRPr="00A84BF3">
          <w:rPr>
            <w:noProof/>
            <w:webHidden/>
          </w:rPr>
          <w:fldChar w:fldCharType="begin"/>
        </w:r>
        <w:r w:rsidRPr="00A84BF3">
          <w:rPr>
            <w:noProof/>
            <w:webHidden/>
          </w:rPr>
          <w:instrText xml:space="preserve"> PAGEREF _Toc180762269 \h </w:instrText>
        </w:r>
        <w:r w:rsidRPr="00A84BF3">
          <w:rPr>
            <w:noProof/>
            <w:webHidden/>
          </w:rPr>
          <w:fldChar w:fldCharType="separate"/>
        </w:r>
        <w:r w:rsidR="00BF08DE">
          <w:rPr>
            <w:b/>
            <w:bCs/>
            <w:noProof/>
            <w:webHidden/>
          </w:rPr>
          <w:t>Error! Bookmark not defined.</w:t>
        </w:r>
        <w:r w:rsidRPr="00A84BF3">
          <w:rPr>
            <w:noProof/>
            <w:webHidden/>
          </w:rPr>
          <w:fldChar w:fldCharType="end"/>
        </w:r>
      </w:hyperlink>
    </w:p>
    <w:p w14:paraId="35DFEDCC" w14:textId="2FCC50CF"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hyperlink w:anchor="_Toc180762270" w:history="1">
        <w:r w:rsidRPr="00445BBC">
          <w:rPr>
            <w:rStyle w:val="Hyperlink"/>
            <w:rFonts w:cs="Poppins"/>
            <w:b/>
            <w:bCs/>
            <w:noProof/>
          </w:rPr>
          <w:t>5.</w:t>
        </w:r>
        <w:r>
          <w:rPr>
            <w:rFonts w:asciiTheme="minorHAnsi" w:eastAsiaTheme="minorEastAsia" w:hAnsiTheme="minorHAnsi"/>
            <w:noProof/>
            <w:szCs w:val="24"/>
            <w:lang w:eastAsia="en-GB"/>
          </w:rPr>
          <w:tab/>
        </w:r>
        <w:r w:rsidRPr="00445BBC">
          <w:rPr>
            <w:rStyle w:val="Hyperlink"/>
            <w:rFonts w:cs="Poppins"/>
            <w:b/>
            <w:bCs/>
            <w:noProof/>
          </w:rPr>
          <w:t>Nutrition Data on Hot Food Takeaways</w:t>
        </w:r>
        <w:r>
          <w:rPr>
            <w:noProof/>
            <w:webHidden/>
          </w:rPr>
          <w:tab/>
        </w:r>
        <w:r>
          <w:rPr>
            <w:noProof/>
            <w:webHidden/>
          </w:rPr>
          <w:fldChar w:fldCharType="begin"/>
        </w:r>
        <w:r>
          <w:rPr>
            <w:noProof/>
            <w:webHidden/>
          </w:rPr>
          <w:instrText xml:space="preserve"> PAGEREF _Toc180762270 \h </w:instrText>
        </w:r>
        <w:r>
          <w:rPr>
            <w:noProof/>
            <w:webHidden/>
          </w:rPr>
        </w:r>
        <w:r>
          <w:rPr>
            <w:noProof/>
            <w:webHidden/>
          </w:rPr>
          <w:fldChar w:fldCharType="separate"/>
        </w:r>
        <w:r w:rsidR="00BF08DE">
          <w:rPr>
            <w:noProof/>
            <w:webHidden/>
          </w:rPr>
          <w:t>6</w:t>
        </w:r>
        <w:r>
          <w:rPr>
            <w:noProof/>
            <w:webHidden/>
          </w:rPr>
          <w:fldChar w:fldCharType="end"/>
        </w:r>
      </w:hyperlink>
    </w:p>
    <w:p w14:paraId="6AB277C2" w14:textId="072F36E0"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hyperlink w:anchor="_Toc180762271" w:history="1">
        <w:r w:rsidRPr="00445BBC">
          <w:rPr>
            <w:rStyle w:val="Hyperlink"/>
            <w:rFonts w:cs="Poppins"/>
            <w:b/>
            <w:bCs/>
            <w:noProof/>
          </w:rPr>
          <w:t>6.</w:t>
        </w:r>
        <w:r>
          <w:rPr>
            <w:rFonts w:asciiTheme="minorHAnsi" w:eastAsiaTheme="minorEastAsia" w:hAnsiTheme="minorHAnsi"/>
            <w:noProof/>
            <w:szCs w:val="24"/>
            <w:lang w:eastAsia="en-GB"/>
          </w:rPr>
          <w:tab/>
        </w:r>
        <w:r w:rsidRPr="00445BBC">
          <w:rPr>
            <w:rStyle w:val="Hyperlink"/>
            <w:rFonts w:cs="Poppins"/>
            <w:b/>
            <w:bCs/>
            <w:noProof/>
          </w:rPr>
          <w:t>Diet and Disease Mortality</w:t>
        </w:r>
        <w:r>
          <w:rPr>
            <w:noProof/>
            <w:webHidden/>
          </w:rPr>
          <w:tab/>
        </w:r>
        <w:r>
          <w:rPr>
            <w:noProof/>
            <w:webHidden/>
          </w:rPr>
          <w:fldChar w:fldCharType="begin"/>
        </w:r>
        <w:r>
          <w:rPr>
            <w:noProof/>
            <w:webHidden/>
          </w:rPr>
          <w:instrText xml:space="preserve"> PAGEREF _Toc180762271 \h </w:instrText>
        </w:r>
        <w:r>
          <w:rPr>
            <w:noProof/>
            <w:webHidden/>
          </w:rPr>
        </w:r>
        <w:r>
          <w:rPr>
            <w:noProof/>
            <w:webHidden/>
          </w:rPr>
          <w:fldChar w:fldCharType="separate"/>
        </w:r>
        <w:r w:rsidR="00BF08DE">
          <w:rPr>
            <w:noProof/>
            <w:webHidden/>
          </w:rPr>
          <w:t>7</w:t>
        </w:r>
        <w:r>
          <w:rPr>
            <w:noProof/>
            <w:webHidden/>
          </w:rPr>
          <w:fldChar w:fldCharType="end"/>
        </w:r>
      </w:hyperlink>
    </w:p>
    <w:p w14:paraId="5BA946B6" w14:textId="075468D9"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hyperlink w:anchor="_Toc180762272" w:history="1">
        <w:r w:rsidRPr="00445BBC">
          <w:rPr>
            <w:rStyle w:val="Hyperlink"/>
            <w:rFonts w:cs="Poppins"/>
            <w:b/>
            <w:bCs/>
            <w:noProof/>
          </w:rPr>
          <w:t>7.</w:t>
        </w:r>
        <w:r>
          <w:rPr>
            <w:rFonts w:asciiTheme="minorHAnsi" w:eastAsiaTheme="minorEastAsia" w:hAnsiTheme="minorHAnsi"/>
            <w:noProof/>
            <w:szCs w:val="24"/>
            <w:lang w:eastAsia="en-GB"/>
          </w:rPr>
          <w:tab/>
        </w:r>
        <w:r w:rsidRPr="00445BBC">
          <w:rPr>
            <w:rStyle w:val="Hyperlink"/>
            <w:rFonts w:cs="Poppins"/>
            <w:b/>
            <w:bCs/>
            <w:noProof/>
          </w:rPr>
          <w:t>CVD and Health Inequalities in North Tyneside</w:t>
        </w:r>
        <w:r>
          <w:rPr>
            <w:noProof/>
            <w:webHidden/>
          </w:rPr>
          <w:tab/>
        </w:r>
        <w:r>
          <w:rPr>
            <w:noProof/>
            <w:webHidden/>
          </w:rPr>
          <w:fldChar w:fldCharType="begin"/>
        </w:r>
        <w:r>
          <w:rPr>
            <w:noProof/>
            <w:webHidden/>
          </w:rPr>
          <w:instrText xml:space="preserve"> PAGEREF _Toc180762272 \h </w:instrText>
        </w:r>
        <w:r>
          <w:rPr>
            <w:noProof/>
            <w:webHidden/>
          </w:rPr>
          <w:fldChar w:fldCharType="separate"/>
        </w:r>
        <w:r w:rsidR="00BF08DE">
          <w:rPr>
            <w:b/>
            <w:bCs/>
            <w:noProof/>
            <w:webHidden/>
          </w:rPr>
          <w:t>Error! Bookmark not defined.</w:t>
        </w:r>
        <w:r>
          <w:rPr>
            <w:noProof/>
            <w:webHidden/>
          </w:rPr>
          <w:fldChar w:fldCharType="end"/>
        </w:r>
      </w:hyperlink>
    </w:p>
    <w:p w14:paraId="080A89EA" w14:textId="5BEDAEAC"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hyperlink w:anchor="_Toc180762273" w:history="1">
        <w:r w:rsidRPr="00445BBC">
          <w:rPr>
            <w:rStyle w:val="Hyperlink"/>
            <w:rFonts w:cs="Poppins"/>
            <w:b/>
            <w:bCs/>
            <w:noProof/>
          </w:rPr>
          <w:t>8.</w:t>
        </w:r>
        <w:r>
          <w:rPr>
            <w:rFonts w:asciiTheme="minorHAnsi" w:eastAsiaTheme="minorEastAsia" w:hAnsiTheme="minorHAnsi"/>
            <w:noProof/>
            <w:szCs w:val="24"/>
            <w:lang w:eastAsia="en-GB"/>
          </w:rPr>
          <w:tab/>
        </w:r>
        <w:r w:rsidRPr="00445BBC">
          <w:rPr>
            <w:rStyle w:val="Hyperlink"/>
            <w:rFonts w:cs="Poppins"/>
            <w:b/>
            <w:bCs/>
            <w:noProof/>
          </w:rPr>
          <w:t>Diet and Disease Morbidity</w:t>
        </w:r>
        <w:r>
          <w:rPr>
            <w:noProof/>
            <w:webHidden/>
          </w:rPr>
          <w:tab/>
        </w:r>
        <w:r>
          <w:rPr>
            <w:noProof/>
            <w:webHidden/>
          </w:rPr>
          <w:fldChar w:fldCharType="begin"/>
        </w:r>
        <w:r>
          <w:rPr>
            <w:noProof/>
            <w:webHidden/>
          </w:rPr>
          <w:instrText xml:space="preserve"> PAGEREF _Toc180762273 \h </w:instrText>
        </w:r>
        <w:r>
          <w:rPr>
            <w:noProof/>
            <w:webHidden/>
          </w:rPr>
          <w:fldChar w:fldCharType="separate"/>
        </w:r>
        <w:r w:rsidR="00BF08DE">
          <w:rPr>
            <w:b/>
            <w:bCs/>
            <w:noProof/>
            <w:webHidden/>
          </w:rPr>
          <w:t>Error! Bookmark not defined.</w:t>
        </w:r>
        <w:r>
          <w:rPr>
            <w:noProof/>
            <w:webHidden/>
          </w:rPr>
          <w:fldChar w:fldCharType="end"/>
        </w:r>
      </w:hyperlink>
    </w:p>
    <w:p w14:paraId="175988AA" w14:textId="2EC98ABF"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hyperlink w:anchor="_Toc180762274" w:history="1">
        <w:r w:rsidRPr="00445BBC">
          <w:rPr>
            <w:rStyle w:val="Hyperlink"/>
            <w:rFonts w:cs="Poppins"/>
            <w:b/>
            <w:bCs/>
            <w:noProof/>
          </w:rPr>
          <w:t>9.</w:t>
        </w:r>
        <w:r>
          <w:rPr>
            <w:rFonts w:asciiTheme="minorHAnsi" w:eastAsiaTheme="minorEastAsia" w:hAnsiTheme="minorHAnsi"/>
            <w:noProof/>
            <w:szCs w:val="24"/>
            <w:lang w:eastAsia="en-GB"/>
          </w:rPr>
          <w:tab/>
        </w:r>
        <w:r w:rsidRPr="00445BBC">
          <w:rPr>
            <w:rStyle w:val="Hyperlink"/>
            <w:rFonts w:cs="Poppins"/>
            <w:b/>
            <w:bCs/>
            <w:noProof/>
          </w:rPr>
          <w:t>Childhood Obesity Data</w:t>
        </w:r>
        <w:r>
          <w:rPr>
            <w:noProof/>
            <w:webHidden/>
          </w:rPr>
          <w:tab/>
        </w:r>
        <w:r>
          <w:rPr>
            <w:noProof/>
            <w:webHidden/>
          </w:rPr>
          <w:fldChar w:fldCharType="begin"/>
        </w:r>
        <w:r>
          <w:rPr>
            <w:noProof/>
            <w:webHidden/>
          </w:rPr>
          <w:instrText xml:space="preserve"> PAGEREF _Toc180762274 \h </w:instrText>
        </w:r>
        <w:r>
          <w:rPr>
            <w:noProof/>
            <w:webHidden/>
          </w:rPr>
        </w:r>
        <w:r>
          <w:rPr>
            <w:noProof/>
            <w:webHidden/>
          </w:rPr>
          <w:fldChar w:fldCharType="separate"/>
        </w:r>
        <w:r w:rsidR="00BF08DE">
          <w:rPr>
            <w:noProof/>
            <w:webHidden/>
          </w:rPr>
          <w:t>12</w:t>
        </w:r>
        <w:r>
          <w:rPr>
            <w:noProof/>
            <w:webHidden/>
          </w:rPr>
          <w:fldChar w:fldCharType="end"/>
        </w:r>
      </w:hyperlink>
    </w:p>
    <w:p w14:paraId="60DC8D24" w14:textId="1B3C5446" w:rsidR="00492A56" w:rsidRDefault="00492A56" w:rsidP="00121135">
      <w:pPr>
        <w:pStyle w:val="TOC2"/>
        <w:tabs>
          <w:tab w:val="left" w:pos="960"/>
          <w:tab w:val="right" w:leader="dot" w:pos="9016"/>
        </w:tabs>
        <w:spacing w:after="0"/>
        <w:rPr>
          <w:rFonts w:asciiTheme="minorHAnsi" w:eastAsiaTheme="minorEastAsia" w:hAnsiTheme="minorHAnsi"/>
          <w:noProof/>
          <w:szCs w:val="24"/>
          <w:lang w:eastAsia="en-GB"/>
        </w:rPr>
      </w:pPr>
      <w:hyperlink w:anchor="_Toc180762275" w:history="1">
        <w:r w:rsidRPr="00445BBC">
          <w:rPr>
            <w:rStyle w:val="Hyperlink"/>
            <w:rFonts w:cs="Poppins"/>
            <w:b/>
            <w:bCs/>
            <w:noProof/>
          </w:rPr>
          <w:t>10</w:t>
        </w:r>
        <w:r>
          <w:rPr>
            <w:rStyle w:val="Hyperlink"/>
            <w:rFonts w:cs="Poppins"/>
            <w:b/>
            <w:bCs/>
            <w:noProof/>
          </w:rPr>
          <w:t xml:space="preserve">      </w:t>
        </w:r>
        <w:r w:rsidRPr="00445BBC">
          <w:rPr>
            <w:rStyle w:val="Hyperlink"/>
            <w:rFonts w:cs="Poppins"/>
            <w:b/>
            <w:bCs/>
            <w:noProof/>
          </w:rPr>
          <w:t>Adult Obesity Evidence</w:t>
        </w:r>
        <w:r>
          <w:rPr>
            <w:noProof/>
            <w:webHidden/>
          </w:rPr>
          <w:tab/>
        </w:r>
        <w:r>
          <w:rPr>
            <w:noProof/>
            <w:webHidden/>
          </w:rPr>
          <w:fldChar w:fldCharType="begin"/>
        </w:r>
        <w:r>
          <w:rPr>
            <w:noProof/>
            <w:webHidden/>
          </w:rPr>
          <w:instrText xml:space="preserve"> PAGEREF _Toc180762275 \h </w:instrText>
        </w:r>
        <w:r>
          <w:rPr>
            <w:noProof/>
            <w:webHidden/>
          </w:rPr>
        </w:r>
        <w:r>
          <w:rPr>
            <w:noProof/>
            <w:webHidden/>
          </w:rPr>
          <w:fldChar w:fldCharType="separate"/>
        </w:r>
        <w:r w:rsidR="00BF08DE">
          <w:rPr>
            <w:noProof/>
            <w:webHidden/>
          </w:rPr>
          <w:t>17</w:t>
        </w:r>
        <w:r>
          <w:rPr>
            <w:noProof/>
            <w:webHidden/>
          </w:rPr>
          <w:fldChar w:fldCharType="end"/>
        </w:r>
      </w:hyperlink>
    </w:p>
    <w:p w14:paraId="081F7E71" w14:textId="7FF7ED97" w:rsidR="00492A56" w:rsidRDefault="00492A56" w:rsidP="00121135">
      <w:pPr>
        <w:pStyle w:val="TOC2"/>
        <w:tabs>
          <w:tab w:val="left" w:pos="720"/>
          <w:tab w:val="right" w:leader="dot" w:pos="9016"/>
        </w:tabs>
        <w:spacing w:after="0"/>
        <w:rPr>
          <w:rFonts w:asciiTheme="minorHAnsi" w:eastAsiaTheme="minorEastAsia" w:hAnsiTheme="minorHAnsi"/>
          <w:noProof/>
          <w:szCs w:val="24"/>
          <w:lang w:eastAsia="en-GB"/>
        </w:rPr>
      </w:pPr>
      <w:hyperlink w:anchor="_Toc180762276" w:history="1">
        <w:r w:rsidRPr="00445BBC">
          <w:rPr>
            <w:rStyle w:val="Hyperlink"/>
            <w:rFonts w:cs="Poppins"/>
            <w:b/>
            <w:bCs/>
            <w:noProof/>
          </w:rPr>
          <w:t>11.</w:t>
        </w:r>
        <w:r>
          <w:rPr>
            <w:rFonts w:asciiTheme="minorHAnsi" w:eastAsiaTheme="minorEastAsia" w:hAnsiTheme="minorHAnsi"/>
            <w:noProof/>
            <w:szCs w:val="24"/>
            <w:lang w:eastAsia="en-GB"/>
          </w:rPr>
          <w:tab/>
        </w:r>
        <w:r w:rsidRPr="00445BBC">
          <w:rPr>
            <w:rStyle w:val="Hyperlink"/>
            <w:rFonts w:cs="Poppins"/>
            <w:b/>
            <w:bCs/>
            <w:noProof/>
          </w:rPr>
          <w:t>Prevalence and Location of Hot Food Takeaways</w:t>
        </w:r>
        <w:r>
          <w:rPr>
            <w:noProof/>
            <w:webHidden/>
          </w:rPr>
          <w:tab/>
        </w:r>
        <w:r>
          <w:rPr>
            <w:noProof/>
            <w:webHidden/>
          </w:rPr>
          <w:fldChar w:fldCharType="begin"/>
        </w:r>
        <w:r>
          <w:rPr>
            <w:noProof/>
            <w:webHidden/>
          </w:rPr>
          <w:instrText xml:space="preserve"> PAGEREF _Toc180762276 \h </w:instrText>
        </w:r>
        <w:r>
          <w:rPr>
            <w:noProof/>
            <w:webHidden/>
          </w:rPr>
        </w:r>
        <w:r>
          <w:rPr>
            <w:noProof/>
            <w:webHidden/>
          </w:rPr>
          <w:fldChar w:fldCharType="separate"/>
        </w:r>
        <w:r w:rsidR="00BF08DE">
          <w:rPr>
            <w:noProof/>
            <w:webHidden/>
          </w:rPr>
          <w:t>18</w:t>
        </w:r>
        <w:r>
          <w:rPr>
            <w:noProof/>
            <w:webHidden/>
          </w:rPr>
          <w:fldChar w:fldCharType="end"/>
        </w:r>
      </w:hyperlink>
    </w:p>
    <w:p w14:paraId="3B4258CB" w14:textId="185D59A1" w:rsidR="00492A56" w:rsidRPr="00A84BF3" w:rsidRDefault="00492A56" w:rsidP="00121135">
      <w:pPr>
        <w:pStyle w:val="TOC3"/>
        <w:spacing w:after="0"/>
        <w:rPr>
          <w:rFonts w:asciiTheme="minorHAnsi" w:eastAsiaTheme="minorEastAsia" w:hAnsiTheme="minorHAnsi"/>
          <w:noProof/>
          <w:szCs w:val="24"/>
          <w:lang w:eastAsia="en-GB"/>
        </w:rPr>
      </w:pPr>
      <w:hyperlink w:anchor="_Toc180762277" w:history="1">
        <w:r w:rsidRPr="00A84BF3">
          <w:rPr>
            <w:rStyle w:val="Hyperlink"/>
            <w:rFonts w:cs="Poppins"/>
            <w:noProof/>
          </w:rPr>
          <w:t>Proximity of Hot Food Takeaways to Schools</w:t>
        </w:r>
        <w:r w:rsidRPr="00A84BF3">
          <w:rPr>
            <w:noProof/>
            <w:webHidden/>
          </w:rPr>
          <w:tab/>
        </w:r>
        <w:r w:rsidRPr="00A84BF3">
          <w:rPr>
            <w:noProof/>
            <w:webHidden/>
          </w:rPr>
          <w:fldChar w:fldCharType="begin"/>
        </w:r>
        <w:r w:rsidRPr="00A84BF3">
          <w:rPr>
            <w:noProof/>
            <w:webHidden/>
          </w:rPr>
          <w:instrText xml:space="preserve"> PAGEREF _Toc180762277 \h </w:instrText>
        </w:r>
        <w:r w:rsidRPr="00A84BF3">
          <w:rPr>
            <w:noProof/>
            <w:webHidden/>
          </w:rPr>
        </w:r>
        <w:r w:rsidRPr="00A84BF3">
          <w:rPr>
            <w:noProof/>
            <w:webHidden/>
          </w:rPr>
          <w:fldChar w:fldCharType="separate"/>
        </w:r>
        <w:r w:rsidR="00BF08DE">
          <w:rPr>
            <w:noProof/>
            <w:webHidden/>
          </w:rPr>
          <w:t>19</w:t>
        </w:r>
        <w:r w:rsidRPr="00A84BF3">
          <w:rPr>
            <w:noProof/>
            <w:webHidden/>
          </w:rPr>
          <w:fldChar w:fldCharType="end"/>
        </w:r>
      </w:hyperlink>
    </w:p>
    <w:p w14:paraId="7B552FDF" w14:textId="63292EC9" w:rsidR="00492A56" w:rsidRPr="00A84BF3" w:rsidRDefault="00492A56" w:rsidP="00121135">
      <w:pPr>
        <w:pStyle w:val="TOC3"/>
        <w:spacing w:after="0"/>
        <w:rPr>
          <w:rFonts w:asciiTheme="minorHAnsi" w:eastAsiaTheme="minorEastAsia" w:hAnsiTheme="minorHAnsi"/>
          <w:noProof/>
          <w:szCs w:val="24"/>
          <w:lang w:eastAsia="en-GB"/>
        </w:rPr>
      </w:pPr>
      <w:hyperlink w:anchor="_Toc180762278" w:history="1">
        <w:r w:rsidRPr="00A84BF3">
          <w:rPr>
            <w:rStyle w:val="Hyperlink"/>
            <w:rFonts w:cs="Poppins"/>
            <w:noProof/>
          </w:rPr>
          <w:t>Prevalence of Hot Food Takeaways per Ward</w:t>
        </w:r>
        <w:r w:rsidRPr="00A84BF3">
          <w:rPr>
            <w:noProof/>
            <w:webHidden/>
          </w:rPr>
          <w:tab/>
        </w:r>
        <w:r w:rsidRPr="00A84BF3">
          <w:rPr>
            <w:noProof/>
            <w:webHidden/>
          </w:rPr>
          <w:fldChar w:fldCharType="begin"/>
        </w:r>
        <w:r w:rsidRPr="00A84BF3">
          <w:rPr>
            <w:noProof/>
            <w:webHidden/>
          </w:rPr>
          <w:instrText xml:space="preserve"> PAGEREF _Toc180762278 \h </w:instrText>
        </w:r>
        <w:r w:rsidRPr="00A84BF3">
          <w:rPr>
            <w:noProof/>
            <w:webHidden/>
          </w:rPr>
        </w:r>
        <w:r w:rsidRPr="00A84BF3">
          <w:rPr>
            <w:noProof/>
            <w:webHidden/>
          </w:rPr>
          <w:fldChar w:fldCharType="separate"/>
        </w:r>
        <w:r w:rsidR="00BF08DE">
          <w:rPr>
            <w:noProof/>
            <w:webHidden/>
          </w:rPr>
          <w:t>18</w:t>
        </w:r>
        <w:r w:rsidRPr="00A84BF3">
          <w:rPr>
            <w:noProof/>
            <w:webHidden/>
          </w:rPr>
          <w:fldChar w:fldCharType="end"/>
        </w:r>
      </w:hyperlink>
    </w:p>
    <w:p w14:paraId="0E1A6CD6" w14:textId="73C76756" w:rsidR="00492A56" w:rsidRPr="00A84BF3" w:rsidRDefault="00492A56" w:rsidP="00121135">
      <w:pPr>
        <w:pStyle w:val="TOC3"/>
        <w:spacing w:after="0"/>
        <w:rPr>
          <w:rFonts w:asciiTheme="minorHAnsi" w:eastAsiaTheme="minorEastAsia" w:hAnsiTheme="minorHAnsi"/>
          <w:noProof/>
          <w:szCs w:val="24"/>
          <w:lang w:eastAsia="en-GB"/>
        </w:rPr>
      </w:pPr>
      <w:hyperlink w:anchor="_Toc180762279" w:history="1">
        <w:r w:rsidRPr="00A84BF3">
          <w:rPr>
            <w:rStyle w:val="Hyperlink"/>
            <w:rFonts w:cs="Poppins"/>
            <w:noProof/>
          </w:rPr>
          <w:t>North Tyneside’s Retail Centres</w:t>
        </w:r>
        <w:r w:rsidRPr="00A84BF3">
          <w:rPr>
            <w:noProof/>
            <w:webHidden/>
          </w:rPr>
          <w:tab/>
        </w:r>
        <w:r w:rsidRPr="00A84BF3">
          <w:rPr>
            <w:noProof/>
            <w:webHidden/>
          </w:rPr>
          <w:fldChar w:fldCharType="begin"/>
        </w:r>
        <w:r w:rsidRPr="00A84BF3">
          <w:rPr>
            <w:noProof/>
            <w:webHidden/>
          </w:rPr>
          <w:instrText xml:space="preserve"> PAGEREF _Toc180762279 \h </w:instrText>
        </w:r>
        <w:r w:rsidRPr="00A84BF3">
          <w:rPr>
            <w:noProof/>
            <w:webHidden/>
          </w:rPr>
        </w:r>
        <w:r w:rsidRPr="00A84BF3">
          <w:rPr>
            <w:noProof/>
            <w:webHidden/>
          </w:rPr>
          <w:fldChar w:fldCharType="separate"/>
        </w:r>
        <w:r w:rsidR="00BF08DE">
          <w:rPr>
            <w:noProof/>
            <w:webHidden/>
          </w:rPr>
          <w:t>21</w:t>
        </w:r>
        <w:r w:rsidRPr="00A84BF3">
          <w:rPr>
            <w:noProof/>
            <w:webHidden/>
          </w:rPr>
          <w:fldChar w:fldCharType="end"/>
        </w:r>
      </w:hyperlink>
    </w:p>
    <w:p w14:paraId="26CDF3BC" w14:textId="3E90CE1A" w:rsidR="00492A56" w:rsidRDefault="00492A56" w:rsidP="00121135">
      <w:pPr>
        <w:pStyle w:val="TOC2"/>
        <w:tabs>
          <w:tab w:val="left" w:pos="960"/>
          <w:tab w:val="right" w:leader="dot" w:pos="9016"/>
        </w:tabs>
        <w:spacing w:after="0"/>
        <w:rPr>
          <w:rFonts w:asciiTheme="minorHAnsi" w:eastAsiaTheme="minorEastAsia" w:hAnsiTheme="minorHAnsi"/>
          <w:noProof/>
          <w:szCs w:val="24"/>
          <w:lang w:eastAsia="en-GB"/>
        </w:rPr>
      </w:pPr>
      <w:hyperlink w:anchor="_Toc180762280" w:history="1">
        <w:r w:rsidRPr="00445BBC">
          <w:rPr>
            <w:rStyle w:val="Hyperlink"/>
            <w:rFonts w:cs="Poppins"/>
            <w:b/>
            <w:bCs/>
            <w:noProof/>
          </w:rPr>
          <w:t>12.</w:t>
        </w:r>
        <w:r>
          <w:rPr>
            <w:rFonts w:asciiTheme="minorHAnsi" w:eastAsiaTheme="minorEastAsia" w:hAnsiTheme="minorHAnsi"/>
            <w:noProof/>
            <w:szCs w:val="24"/>
            <w:lang w:eastAsia="en-GB"/>
          </w:rPr>
          <w:t xml:space="preserve">    </w:t>
        </w:r>
        <w:r w:rsidRPr="00445BBC">
          <w:rPr>
            <w:rStyle w:val="Hyperlink"/>
            <w:rFonts w:cs="Poppins"/>
            <w:b/>
            <w:bCs/>
            <w:noProof/>
          </w:rPr>
          <w:t>Overview</w:t>
        </w:r>
        <w:r>
          <w:rPr>
            <w:noProof/>
            <w:webHidden/>
          </w:rPr>
          <w:tab/>
        </w:r>
        <w:r>
          <w:rPr>
            <w:noProof/>
            <w:webHidden/>
          </w:rPr>
          <w:fldChar w:fldCharType="begin"/>
        </w:r>
        <w:r>
          <w:rPr>
            <w:noProof/>
            <w:webHidden/>
          </w:rPr>
          <w:instrText xml:space="preserve"> PAGEREF _Toc180762280 \h </w:instrText>
        </w:r>
        <w:r>
          <w:rPr>
            <w:noProof/>
            <w:webHidden/>
          </w:rPr>
        </w:r>
        <w:r>
          <w:rPr>
            <w:noProof/>
            <w:webHidden/>
          </w:rPr>
          <w:fldChar w:fldCharType="separate"/>
        </w:r>
        <w:r w:rsidR="00BF08DE">
          <w:rPr>
            <w:noProof/>
            <w:webHidden/>
          </w:rPr>
          <w:t>22</w:t>
        </w:r>
        <w:r>
          <w:rPr>
            <w:noProof/>
            <w:webHidden/>
          </w:rPr>
          <w:fldChar w:fldCharType="end"/>
        </w:r>
      </w:hyperlink>
    </w:p>
    <w:p w14:paraId="460C2A4B" w14:textId="249716FB" w:rsidR="00492A56" w:rsidRPr="00A84BF3" w:rsidRDefault="00492A56" w:rsidP="00121135">
      <w:pPr>
        <w:pStyle w:val="TOC3"/>
        <w:spacing w:after="0"/>
        <w:rPr>
          <w:rFonts w:asciiTheme="minorHAnsi" w:eastAsiaTheme="minorEastAsia" w:hAnsiTheme="minorHAnsi"/>
          <w:noProof/>
          <w:szCs w:val="24"/>
          <w:lang w:eastAsia="en-GB"/>
        </w:rPr>
      </w:pPr>
      <w:hyperlink w:anchor="_Toc180762281" w:history="1">
        <w:r w:rsidRPr="00A84BF3">
          <w:rPr>
            <w:rStyle w:val="Hyperlink"/>
            <w:rFonts w:cs="Poppins"/>
            <w:noProof/>
          </w:rPr>
          <w:t>Outcomes in Health</w:t>
        </w:r>
        <w:r w:rsidRPr="00A84BF3">
          <w:rPr>
            <w:noProof/>
            <w:webHidden/>
          </w:rPr>
          <w:tab/>
        </w:r>
        <w:r w:rsidRPr="00A84BF3">
          <w:rPr>
            <w:noProof/>
            <w:webHidden/>
          </w:rPr>
          <w:fldChar w:fldCharType="begin"/>
        </w:r>
        <w:r w:rsidRPr="00A84BF3">
          <w:rPr>
            <w:noProof/>
            <w:webHidden/>
          </w:rPr>
          <w:instrText xml:space="preserve"> PAGEREF _Toc180762281 \h </w:instrText>
        </w:r>
        <w:r w:rsidRPr="00A84BF3">
          <w:rPr>
            <w:noProof/>
            <w:webHidden/>
          </w:rPr>
        </w:r>
        <w:r w:rsidRPr="00A84BF3">
          <w:rPr>
            <w:noProof/>
            <w:webHidden/>
          </w:rPr>
          <w:fldChar w:fldCharType="separate"/>
        </w:r>
        <w:r w:rsidR="00BF08DE">
          <w:rPr>
            <w:noProof/>
            <w:webHidden/>
          </w:rPr>
          <w:t>22</w:t>
        </w:r>
        <w:r w:rsidRPr="00A84BF3">
          <w:rPr>
            <w:noProof/>
            <w:webHidden/>
          </w:rPr>
          <w:fldChar w:fldCharType="end"/>
        </w:r>
      </w:hyperlink>
    </w:p>
    <w:p w14:paraId="5BBF6586" w14:textId="495AC8E7" w:rsidR="00492A56" w:rsidRPr="00A84BF3" w:rsidRDefault="00492A56" w:rsidP="00121135">
      <w:pPr>
        <w:pStyle w:val="TOC3"/>
        <w:spacing w:after="0"/>
        <w:rPr>
          <w:rFonts w:asciiTheme="minorHAnsi" w:eastAsiaTheme="minorEastAsia" w:hAnsiTheme="minorHAnsi"/>
          <w:noProof/>
          <w:szCs w:val="24"/>
          <w:lang w:eastAsia="en-GB"/>
        </w:rPr>
      </w:pPr>
      <w:hyperlink w:anchor="_Toc180762282" w:history="1">
        <w:r w:rsidRPr="00A84BF3">
          <w:rPr>
            <w:rStyle w:val="Hyperlink"/>
            <w:rFonts w:cs="Poppins"/>
            <w:noProof/>
          </w:rPr>
          <w:t>Childhood Obesity</w:t>
        </w:r>
        <w:r w:rsidRPr="00A84BF3">
          <w:rPr>
            <w:noProof/>
            <w:webHidden/>
          </w:rPr>
          <w:tab/>
        </w:r>
        <w:r w:rsidRPr="00A84BF3">
          <w:rPr>
            <w:noProof/>
            <w:webHidden/>
          </w:rPr>
          <w:fldChar w:fldCharType="begin"/>
        </w:r>
        <w:r w:rsidRPr="00A84BF3">
          <w:rPr>
            <w:noProof/>
            <w:webHidden/>
          </w:rPr>
          <w:instrText xml:space="preserve"> PAGEREF _Toc180762282 \h </w:instrText>
        </w:r>
        <w:r w:rsidRPr="00A84BF3">
          <w:rPr>
            <w:noProof/>
            <w:webHidden/>
          </w:rPr>
          <w:fldChar w:fldCharType="separate"/>
        </w:r>
        <w:r w:rsidR="00BF08DE">
          <w:rPr>
            <w:b/>
            <w:bCs/>
            <w:noProof/>
            <w:webHidden/>
          </w:rPr>
          <w:t>Error! Bookmark not defined.</w:t>
        </w:r>
        <w:r w:rsidRPr="00A84BF3">
          <w:rPr>
            <w:noProof/>
            <w:webHidden/>
          </w:rPr>
          <w:fldChar w:fldCharType="end"/>
        </w:r>
      </w:hyperlink>
    </w:p>
    <w:p w14:paraId="58A69D32" w14:textId="45535C95" w:rsidR="00492A56" w:rsidRDefault="00492A56" w:rsidP="00121135">
      <w:pPr>
        <w:pStyle w:val="TOC3"/>
        <w:spacing w:after="0"/>
        <w:rPr>
          <w:rFonts w:asciiTheme="minorHAnsi" w:eastAsiaTheme="minorEastAsia" w:hAnsiTheme="minorHAnsi"/>
          <w:noProof/>
          <w:szCs w:val="24"/>
          <w:lang w:eastAsia="en-GB"/>
        </w:rPr>
      </w:pPr>
      <w:hyperlink w:anchor="_Toc180762283" w:history="1">
        <w:r w:rsidRPr="00A84BF3">
          <w:rPr>
            <w:rStyle w:val="Hyperlink"/>
            <w:rFonts w:cs="Poppins"/>
            <w:noProof/>
          </w:rPr>
          <w:t>Hot Food Takeaways</w:t>
        </w:r>
        <w:r w:rsidRPr="00A84BF3">
          <w:rPr>
            <w:noProof/>
            <w:webHidden/>
          </w:rPr>
          <w:tab/>
        </w:r>
        <w:r w:rsidRPr="00A84BF3">
          <w:rPr>
            <w:noProof/>
            <w:webHidden/>
          </w:rPr>
          <w:fldChar w:fldCharType="begin"/>
        </w:r>
        <w:r w:rsidRPr="00A84BF3">
          <w:rPr>
            <w:noProof/>
            <w:webHidden/>
          </w:rPr>
          <w:instrText xml:space="preserve"> PAGEREF _Toc180762283 \h </w:instrText>
        </w:r>
        <w:r w:rsidRPr="00A84BF3">
          <w:rPr>
            <w:noProof/>
            <w:webHidden/>
          </w:rPr>
          <w:fldChar w:fldCharType="separate"/>
        </w:r>
        <w:r w:rsidR="00BF08DE">
          <w:rPr>
            <w:b/>
            <w:bCs/>
            <w:noProof/>
            <w:webHidden/>
          </w:rPr>
          <w:t>Error! Bookmark not defined.</w:t>
        </w:r>
        <w:r w:rsidRPr="00A84BF3">
          <w:rPr>
            <w:noProof/>
            <w:webHidden/>
          </w:rPr>
          <w:fldChar w:fldCharType="end"/>
        </w:r>
      </w:hyperlink>
    </w:p>
    <w:p w14:paraId="0AE96700" w14:textId="4DC1685C" w:rsidR="00492A56" w:rsidRDefault="00492A56" w:rsidP="00121135">
      <w:pPr>
        <w:pStyle w:val="TOC2"/>
        <w:tabs>
          <w:tab w:val="left" w:pos="960"/>
          <w:tab w:val="right" w:leader="dot" w:pos="9016"/>
        </w:tabs>
        <w:spacing w:after="0"/>
        <w:rPr>
          <w:rFonts w:asciiTheme="minorHAnsi" w:eastAsiaTheme="minorEastAsia" w:hAnsiTheme="minorHAnsi"/>
          <w:noProof/>
          <w:szCs w:val="24"/>
          <w:lang w:eastAsia="en-GB"/>
        </w:rPr>
      </w:pPr>
      <w:hyperlink w:anchor="_Toc180762284" w:history="1">
        <w:r w:rsidRPr="00445BBC">
          <w:rPr>
            <w:rStyle w:val="Hyperlink"/>
            <w:rFonts w:cs="Poppins"/>
            <w:b/>
            <w:bCs/>
            <w:noProof/>
          </w:rPr>
          <w:t>13.</w:t>
        </w:r>
        <w:r>
          <w:rPr>
            <w:rFonts w:asciiTheme="minorHAnsi" w:eastAsiaTheme="minorEastAsia" w:hAnsiTheme="minorHAnsi"/>
            <w:noProof/>
            <w:szCs w:val="24"/>
            <w:lang w:eastAsia="en-GB"/>
          </w:rPr>
          <w:t xml:space="preserve">    </w:t>
        </w:r>
        <w:r w:rsidRPr="00445BBC">
          <w:rPr>
            <w:rStyle w:val="Hyperlink"/>
            <w:rFonts w:cs="Poppins"/>
            <w:b/>
            <w:bCs/>
            <w:noProof/>
          </w:rPr>
          <w:t>Conclusion</w:t>
        </w:r>
        <w:r>
          <w:rPr>
            <w:noProof/>
            <w:webHidden/>
          </w:rPr>
          <w:tab/>
        </w:r>
        <w:r>
          <w:rPr>
            <w:noProof/>
            <w:webHidden/>
          </w:rPr>
          <w:fldChar w:fldCharType="begin"/>
        </w:r>
        <w:r>
          <w:rPr>
            <w:noProof/>
            <w:webHidden/>
          </w:rPr>
          <w:instrText xml:space="preserve"> PAGEREF _Toc180762284 \h </w:instrText>
        </w:r>
        <w:r>
          <w:rPr>
            <w:noProof/>
            <w:webHidden/>
          </w:rPr>
        </w:r>
        <w:r>
          <w:rPr>
            <w:noProof/>
            <w:webHidden/>
          </w:rPr>
          <w:fldChar w:fldCharType="separate"/>
        </w:r>
        <w:r w:rsidR="00BF08DE">
          <w:rPr>
            <w:noProof/>
            <w:webHidden/>
          </w:rPr>
          <w:t>24</w:t>
        </w:r>
        <w:r>
          <w:rPr>
            <w:noProof/>
            <w:webHidden/>
          </w:rPr>
          <w:fldChar w:fldCharType="end"/>
        </w:r>
      </w:hyperlink>
    </w:p>
    <w:p w14:paraId="5E32B93F" w14:textId="37212AB1" w:rsidR="00492A56" w:rsidRDefault="00492A56" w:rsidP="00121135">
      <w:pPr>
        <w:spacing w:after="0"/>
        <w:rPr>
          <w:rFonts w:cs="Poppins"/>
          <w:b/>
          <w:bCs/>
          <w:sz w:val="28"/>
          <w:szCs w:val="28"/>
        </w:rPr>
      </w:pPr>
      <w:r>
        <w:rPr>
          <w:rFonts w:cs="Poppins"/>
          <w:b/>
          <w:bCs/>
          <w:sz w:val="28"/>
          <w:szCs w:val="28"/>
        </w:rPr>
        <w:fldChar w:fldCharType="end"/>
      </w:r>
    </w:p>
    <w:p w14:paraId="3B09B004" w14:textId="77777777" w:rsidR="00235F7F" w:rsidRDefault="00235F7F" w:rsidP="004903FF">
      <w:pPr>
        <w:spacing w:after="240"/>
        <w:rPr>
          <w:rFonts w:cs="Poppins"/>
          <w:b/>
          <w:bCs/>
          <w:sz w:val="28"/>
          <w:szCs w:val="28"/>
        </w:rPr>
      </w:pPr>
    </w:p>
    <w:p w14:paraId="59E7E4A1" w14:textId="77777777" w:rsidR="00235F7F" w:rsidRDefault="00235F7F" w:rsidP="004903FF">
      <w:pPr>
        <w:spacing w:after="240"/>
        <w:rPr>
          <w:rFonts w:eastAsiaTheme="majorEastAsia" w:cs="Poppins"/>
          <w:b/>
          <w:bCs/>
          <w:sz w:val="28"/>
          <w:szCs w:val="28"/>
        </w:rPr>
      </w:pPr>
    </w:p>
    <w:p w14:paraId="1F64024E" w14:textId="77777777" w:rsidR="000E4D11" w:rsidRDefault="000E4D11" w:rsidP="004903FF">
      <w:pPr>
        <w:spacing w:after="240"/>
        <w:rPr>
          <w:rFonts w:eastAsiaTheme="majorEastAsia" w:cs="Poppins"/>
          <w:b/>
          <w:bCs/>
          <w:sz w:val="28"/>
          <w:szCs w:val="28"/>
        </w:rPr>
      </w:pPr>
      <w:bookmarkStart w:id="6" w:name="_Toc180762264"/>
      <w:r>
        <w:rPr>
          <w:rFonts w:cs="Poppins"/>
          <w:b/>
          <w:bCs/>
          <w:sz w:val="28"/>
          <w:szCs w:val="28"/>
        </w:rPr>
        <w:br w:type="page"/>
      </w:r>
    </w:p>
    <w:p w14:paraId="7CE0400F" w14:textId="4ED368B0" w:rsidR="001A595C" w:rsidRDefault="00CC1B60" w:rsidP="004903FF">
      <w:pPr>
        <w:pStyle w:val="Heading2"/>
        <w:numPr>
          <w:ilvl w:val="0"/>
          <w:numId w:val="7"/>
        </w:numPr>
        <w:spacing w:after="240"/>
        <w:rPr>
          <w:rFonts w:ascii="Poppins" w:hAnsi="Poppins" w:cs="Poppins"/>
          <w:b/>
          <w:bCs/>
          <w:color w:val="auto"/>
          <w:sz w:val="28"/>
          <w:szCs w:val="28"/>
        </w:rPr>
      </w:pPr>
      <w:r w:rsidRPr="009024C1">
        <w:rPr>
          <w:rFonts w:ascii="Poppins" w:hAnsi="Poppins" w:cs="Poppins"/>
          <w:b/>
          <w:bCs/>
          <w:color w:val="auto"/>
          <w:sz w:val="28"/>
          <w:szCs w:val="28"/>
        </w:rPr>
        <w:lastRenderedPageBreak/>
        <w:t>Introduction</w:t>
      </w:r>
      <w:bookmarkEnd w:id="4"/>
      <w:bookmarkEnd w:id="5"/>
      <w:bookmarkEnd w:id="6"/>
      <w:r w:rsidR="00B46582">
        <w:rPr>
          <w:rFonts w:ascii="Poppins" w:hAnsi="Poppins" w:cs="Poppins"/>
          <w:b/>
          <w:bCs/>
          <w:color w:val="auto"/>
          <w:sz w:val="28"/>
          <w:szCs w:val="28"/>
        </w:rPr>
        <w:t xml:space="preserve"> </w:t>
      </w:r>
    </w:p>
    <w:p w14:paraId="7992E187" w14:textId="6C0B10C3" w:rsidR="00E21B4A" w:rsidRDefault="007653CE" w:rsidP="00E21B4A">
      <w:pPr>
        <w:spacing w:after="240"/>
      </w:pPr>
      <w:r>
        <w:t>T</w:t>
      </w:r>
      <w:r w:rsidRPr="009024C1">
        <w:t>he prevalence of obesity in England continues to grow</w:t>
      </w:r>
      <w:r>
        <w:t xml:space="preserve">. </w:t>
      </w:r>
      <w:r w:rsidRPr="009024C1">
        <w:t>In 2022</w:t>
      </w:r>
      <w:r>
        <w:t>/</w:t>
      </w:r>
      <w:r w:rsidRPr="009024C1">
        <w:t xml:space="preserve">2023, 64% of adults aged 18 and older were estimated to be overweight or living with obesity. Obesity is recognised as a complex public health concern as people living with obesity are at an increased risk of having </w:t>
      </w:r>
      <w:r>
        <w:t>C</w:t>
      </w:r>
      <w:r w:rsidRPr="009024C1">
        <w:t xml:space="preserve">ardiovascular </w:t>
      </w:r>
      <w:r>
        <w:t>D</w:t>
      </w:r>
      <w:r w:rsidRPr="009024C1">
        <w:t xml:space="preserve">isease (CVD), type 2 diabetes, cancer, respiratory disease, reduced life expectancy and negative impacts on mental health and wellbeing. </w:t>
      </w:r>
      <w:r w:rsidR="001A595C" w:rsidRPr="009024C1">
        <w:t xml:space="preserve">The </w:t>
      </w:r>
      <w:r w:rsidR="00082B75">
        <w:t>importance of support</w:t>
      </w:r>
      <w:r w:rsidR="000823CE">
        <w:t>ing</w:t>
      </w:r>
      <w:r w:rsidR="00082B75">
        <w:t xml:space="preserve"> healthy outcomes in planning is </w:t>
      </w:r>
      <w:r w:rsidR="000823CE">
        <w:t xml:space="preserve">highlighted </w:t>
      </w:r>
      <w:r w:rsidR="00082B75">
        <w:t xml:space="preserve">within the </w:t>
      </w:r>
      <w:r w:rsidR="001A595C" w:rsidRPr="009024C1">
        <w:t>National Planning Policy Framework</w:t>
      </w:r>
      <w:r w:rsidR="00E21B4A" w:rsidRPr="009024C1">
        <w:t xml:space="preserve"> </w:t>
      </w:r>
    </w:p>
    <w:p w14:paraId="4DC9E892" w14:textId="372866B9" w:rsidR="00BC3108" w:rsidRDefault="002B05AE" w:rsidP="004903FF">
      <w:pPr>
        <w:spacing w:after="240"/>
      </w:pPr>
      <w:r>
        <w:t>W</w:t>
      </w:r>
      <w:r w:rsidR="0085773D">
        <w:t>ithin North Tyneside there are notable</w:t>
      </w:r>
      <w:r w:rsidR="0085773D" w:rsidRPr="009024C1">
        <w:t xml:space="preserve"> health</w:t>
      </w:r>
      <w:r w:rsidR="0085773D">
        <w:t xml:space="preserve"> disparities between </w:t>
      </w:r>
      <w:r>
        <w:t xml:space="preserve">residents in different parts of </w:t>
      </w:r>
      <w:r w:rsidR="0085773D">
        <w:t xml:space="preserve">the Borough residents and </w:t>
      </w:r>
      <w:r w:rsidR="0085773D" w:rsidRPr="009024C1">
        <w:t>across the country</w:t>
      </w:r>
      <w:r>
        <w:t>.</w:t>
      </w:r>
      <w:r w:rsidR="0085773D" w:rsidRPr="009024C1">
        <w:t xml:space="preserve"> </w:t>
      </w:r>
      <w:r>
        <w:t>R</w:t>
      </w:r>
      <w:r w:rsidR="00771438">
        <w:t>esidents in some parts of the Borough experienc</w:t>
      </w:r>
      <w:r>
        <w:t>e</w:t>
      </w:r>
      <w:r w:rsidR="00771438">
        <w:t xml:space="preserve"> significantly reduced life expectancy and lower overall quality of life.</w:t>
      </w:r>
    </w:p>
    <w:p w14:paraId="59428B26" w14:textId="069A3315" w:rsidR="007653CE" w:rsidRDefault="00BC3108" w:rsidP="004903FF">
      <w:pPr>
        <w:spacing w:after="240"/>
      </w:pPr>
      <w:r>
        <w:t xml:space="preserve">As part of the Local Plan’s response </w:t>
      </w:r>
      <w:r w:rsidR="00276460" w:rsidRPr="009024C1">
        <w:t>Policy DM3.7</w:t>
      </w:r>
      <w:r w:rsidR="00276460">
        <w:t>: ‘Hot Food Takeaways’,</w:t>
      </w:r>
      <w:r w:rsidR="00276460" w:rsidRPr="009024C1">
        <w:t xml:space="preserve"> was introduced in 2017 to </w:t>
      </w:r>
      <w:r w:rsidR="00276460">
        <w:t>manage</w:t>
      </w:r>
      <w:r w:rsidR="00276460" w:rsidRPr="009024C1">
        <w:t xml:space="preserve"> the </w:t>
      </w:r>
      <w:r w:rsidR="00276460">
        <w:t xml:space="preserve">prevalence of and access to, </w:t>
      </w:r>
      <w:r w:rsidR="00276460" w:rsidRPr="009024C1">
        <w:t>unhealthy food</w:t>
      </w:r>
      <w:r w:rsidR="00276460">
        <w:t>s. This policy was</w:t>
      </w:r>
      <w:r>
        <w:t xml:space="preserve"> informed by evidence prepared jointly with the Council’s Public Health Team policy </w:t>
      </w:r>
      <w:r w:rsidR="00276460">
        <w:t>t</w:t>
      </w:r>
      <w:r>
        <w:t>o manage and control the prevalence of hot food takeaways was included within the Local Plan</w:t>
      </w:r>
      <w:r w:rsidR="007653CE">
        <w:t xml:space="preserve">. </w:t>
      </w:r>
      <w:r>
        <w:t>This</w:t>
      </w:r>
      <w:r w:rsidR="002263E1">
        <w:t xml:space="preserve"> Review</w:t>
      </w:r>
      <w:r>
        <w:t xml:space="preserve"> </w:t>
      </w:r>
      <w:r w:rsidR="002263E1">
        <w:t>c</w:t>
      </w:r>
      <w:r>
        <w:t xml:space="preserve">onsiders the effectiveness of </w:t>
      </w:r>
      <w:r w:rsidR="002263E1">
        <w:t>existing</w:t>
      </w:r>
      <w:r>
        <w:t xml:space="preserve"> policy in managing hot food takeaways and updates evidence of health outcomes – primarily in relation to key measures of the proportion of overweigh and obese residents in North Tyneside.</w:t>
      </w:r>
      <w:r w:rsidR="007653CE">
        <w:br w:type="page"/>
      </w:r>
    </w:p>
    <w:p w14:paraId="7DA76C03" w14:textId="53A41796" w:rsidR="002D45D3" w:rsidRPr="009024C1" w:rsidRDefault="005C0226" w:rsidP="004903FF">
      <w:pPr>
        <w:pStyle w:val="Heading2"/>
        <w:numPr>
          <w:ilvl w:val="0"/>
          <w:numId w:val="7"/>
        </w:numPr>
        <w:spacing w:after="240"/>
        <w:rPr>
          <w:rFonts w:ascii="Poppins" w:hAnsi="Poppins" w:cs="Poppins"/>
          <w:b/>
          <w:bCs/>
          <w:color w:val="auto"/>
          <w:sz w:val="28"/>
          <w:szCs w:val="28"/>
        </w:rPr>
      </w:pPr>
      <w:bookmarkStart w:id="7" w:name="_Toc178320188"/>
      <w:bookmarkStart w:id="8" w:name="_Toc180660519"/>
      <w:bookmarkStart w:id="9" w:name="_Toc180762267"/>
      <w:r w:rsidRPr="009024C1">
        <w:rPr>
          <w:rFonts w:ascii="Poppins" w:hAnsi="Poppins" w:cs="Poppins"/>
          <w:b/>
          <w:bCs/>
          <w:color w:val="auto"/>
          <w:sz w:val="28"/>
          <w:szCs w:val="28"/>
        </w:rPr>
        <w:lastRenderedPageBreak/>
        <w:t xml:space="preserve">Planning </w:t>
      </w:r>
      <w:r w:rsidR="008B5137" w:rsidRPr="009024C1">
        <w:rPr>
          <w:rFonts w:ascii="Poppins" w:hAnsi="Poppins" w:cs="Poppins"/>
          <w:b/>
          <w:bCs/>
          <w:color w:val="auto"/>
          <w:sz w:val="28"/>
          <w:szCs w:val="28"/>
        </w:rPr>
        <w:t>P</w:t>
      </w:r>
      <w:r w:rsidR="000C2DA5" w:rsidRPr="009024C1">
        <w:rPr>
          <w:rFonts w:ascii="Poppins" w:hAnsi="Poppins" w:cs="Poppins"/>
          <w:b/>
          <w:bCs/>
          <w:color w:val="auto"/>
          <w:sz w:val="28"/>
          <w:szCs w:val="28"/>
        </w:rPr>
        <w:t>olicy Context</w:t>
      </w:r>
      <w:bookmarkEnd w:id="7"/>
      <w:bookmarkEnd w:id="8"/>
      <w:bookmarkEnd w:id="9"/>
      <w:r w:rsidR="000C2DA5" w:rsidRPr="009024C1">
        <w:rPr>
          <w:rFonts w:ascii="Poppins" w:hAnsi="Poppins" w:cs="Poppins"/>
          <w:b/>
          <w:bCs/>
          <w:color w:val="auto"/>
          <w:sz w:val="28"/>
          <w:szCs w:val="28"/>
        </w:rPr>
        <w:t xml:space="preserve"> </w:t>
      </w:r>
    </w:p>
    <w:p w14:paraId="1C069DEB" w14:textId="50B00DB6" w:rsidR="002D45D3" w:rsidRDefault="002D45D3" w:rsidP="004903FF">
      <w:pPr>
        <w:pStyle w:val="Heading4"/>
        <w:spacing w:after="240"/>
        <w:rPr>
          <w:rFonts w:ascii="Poppins" w:hAnsi="Poppins" w:cs="Poppins"/>
          <w:b/>
          <w:bCs/>
          <w:i w:val="0"/>
          <w:iCs w:val="0"/>
          <w:color w:val="auto"/>
          <w:szCs w:val="24"/>
        </w:rPr>
      </w:pPr>
      <w:r w:rsidRPr="009024C1">
        <w:rPr>
          <w:rFonts w:ascii="Poppins" w:hAnsi="Poppins" w:cs="Poppins"/>
          <w:b/>
          <w:bCs/>
          <w:i w:val="0"/>
          <w:iCs w:val="0"/>
          <w:color w:val="auto"/>
          <w:szCs w:val="24"/>
        </w:rPr>
        <w:t>National Planning Policy Framework</w:t>
      </w:r>
      <w:r w:rsidR="00306EE6">
        <w:rPr>
          <w:rFonts w:ascii="Poppins" w:hAnsi="Poppins" w:cs="Poppins"/>
          <w:b/>
          <w:bCs/>
          <w:i w:val="0"/>
          <w:iCs w:val="0"/>
          <w:color w:val="auto"/>
          <w:szCs w:val="24"/>
        </w:rPr>
        <w:t xml:space="preserve"> </w:t>
      </w:r>
    </w:p>
    <w:p w14:paraId="7E448EC8" w14:textId="03C7E324" w:rsidR="003456E5" w:rsidRPr="009024C1" w:rsidRDefault="002D45D3" w:rsidP="004903FF">
      <w:pPr>
        <w:autoSpaceDE w:val="0"/>
        <w:autoSpaceDN w:val="0"/>
        <w:adjustRightInd w:val="0"/>
        <w:spacing w:after="240"/>
        <w:rPr>
          <w:rFonts w:cs="Poppins"/>
          <w:szCs w:val="24"/>
        </w:rPr>
      </w:pPr>
      <w:r w:rsidRPr="009024C1">
        <w:rPr>
          <w:rFonts w:cs="Poppins"/>
          <w:szCs w:val="24"/>
        </w:rPr>
        <w:t>The N</w:t>
      </w:r>
      <w:r w:rsidR="00306EE6">
        <w:rPr>
          <w:rFonts w:cs="Poppins"/>
          <w:szCs w:val="24"/>
        </w:rPr>
        <w:t xml:space="preserve">ational </w:t>
      </w:r>
      <w:r w:rsidRPr="009024C1">
        <w:rPr>
          <w:rFonts w:cs="Poppins"/>
          <w:szCs w:val="24"/>
        </w:rPr>
        <w:t>P</w:t>
      </w:r>
      <w:r w:rsidR="00306EE6">
        <w:rPr>
          <w:rFonts w:cs="Poppins"/>
          <w:szCs w:val="24"/>
        </w:rPr>
        <w:t xml:space="preserve">lanning </w:t>
      </w:r>
      <w:r w:rsidRPr="009024C1">
        <w:rPr>
          <w:rFonts w:cs="Poppins"/>
          <w:szCs w:val="24"/>
        </w:rPr>
        <w:t>P</w:t>
      </w:r>
      <w:r w:rsidR="00306EE6">
        <w:rPr>
          <w:rFonts w:cs="Poppins"/>
          <w:szCs w:val="24"/>
        </w:rPr>
        <w:t xml:space="preserve">olicy </w:t>
      </w:r>
      <w:r w:rsidRPr="009024C1">
        <w:rPr>
          <w:rFonts w:cs="Poppins"/>
          <w:szCs w:val="24"/>
        </w:rPr>
        <w:t>F</w:t>
      </w:r>
      <w:r w:rsidR="00306EE6">
        <w:rPr>
          <w:rFonts w:cs="Poppins"/>
          <w:szCs w:val="24"/>
        </w:rPr>
        <w:t>ramework (NPPF)</w:t>
      </w:r>
      <w:r w:rsidR="00402303">
        <w:rPr>
          <w:rStyle w:val="FootnoteReference"/>
          <w:rFonts w:cs="Poppins"/>
          <w:szCs w:val="24"/>
        </w:rPr>
        <w:footnoteReference w:id="1"/>
      </w:r>
      <w:r w:rsidRPr="009024C1">
        <w:rPr>
          <w:rFonts w:cs="Poppins"/>
          <w:szCs w:val="24"/>
        </w:rPr>
        <w:t xml:space="preserve"> December 202</w:t>
      </w:r>
      <w:r w:rsidR="00455303">
        <w:rPr>
          <w:rFonts w:cs="Poppins"/>
          <w:szCs w:val="24"/>
        </w:rPr>
        <w:t>4</w:t>
      </w:r>
      <w:r w:rsidR="002263E1">
        <w:rPr>
          <w:rFonts w:cs="Poppins"/>
          <w:szCs w:val="24"/>
        </w:rPr>
        <w:t xml:space="preserve"> sets out the principles and role of the planning system in England. </w:t>
      </w:r>
      <w:r w:rsidR="00930DB0" w:rsidRPr="009024C1">
        <w:rPr>
          <w:rFonts w:cs="Poppins"/>
          <w:szCs w:val="24"/>
        </w:rPr>
        <w:t xml:space="preserve">Paragraph </w:t>
      </w:r>
      <w:r w:rsidR="008272FD" w:rsidRPr="009024C1">
        <w:rPr>
          <w:rFonts w:cs="Poppins"/>
          <w:szCs w:val="24"/>
        </w:rPr>
        <w:t>90 of</w:t>
      </w:r>
      <w:r w:rsidR="00ED11EF" w:rsidRPr="009024C1">
        <w:rPr>
          <w:rFonts w:cs="Poppins"/>
          <w:szCs w:val="24"/>
        </w:rPr>
        <w:t xml:space="preserve"> the NPPF highlights the importance of </w:t>
      </w:r>
      <w:r w:rsidR="00930DB0" w:rsidRPr="009024C1">
        <w:rPr>
          <w:rFonts w:cs="Poppins"/>
          <w:szCs w:val="24"/>
        </w:rPr>
        <w:t xml:space="preserve">supporting the role that </w:t>
      </w:r>
      <w:r w:rsidR="00ED11EF" w:rsidRPr="009024C1">
        <w:rPr>
          <w:rFonts w:cs="Poppins"/>
          <w:szCs w:val="24"/>
        </w:rPr>
        <w:t>town centre</w:t>
      </w:r>
      <w:r w:rsidR="00930DB0" w:rsidRPr="009024C1">
        <w:rPr>
          <w:rFonts w:cs="Poppins"/>
          <w:szCs w:val="24"/>
        </w:rPr>
        <w:t xml:space="preserve">s play at the heart of communities </w:t>
      </w:r>
      <w:r w:rsidR="00ED11EF" w:rsidRPr="009024C1">
        <w:rPr>
          <w:rFonts w:cs="Poppins"/>
          <w:szCs w:val="24"/>
        </w:rPr>
        <w:t>and</w:t>
      </w:r>
      <w:r w:rsidR="000A1296" w:rsidRPr="009024C1">
        <w:rPr>
          <w:rFonts w:cs="Poppins"/>
          <w:szCs w:val="24"/>
        </w:rPr>
        <w:t xml:space="preserve"> paragraph 96 (c) outlines that planning policies should</w:t>
      </w:r>
      <w:r w:rsidR="003456E5" w:rsidRPr="009024C1">
        <w:rPr>
          <w:rFonts w:cs="Poppins"/>
          <w:szCs w:val="24"/>
        </w:rPr>
        <w:t>:</w:t>
      </w:r>
    </w:p>
    <w:p w14:paraId="22F23334" w14:textId="2EF38C39" w:rsidR="002D45D3" w:rsidRPr="00FE3F19" w:rsidRDefault="000A1296" w:rsidP="004903FF">
      <w:pPr>
        <w:autoSpaceDE w:val="0"/>
        <w:autoSpaceDN w:val="0"/>
        <w:adjustRightInd w:val="0"/>
        <w:spacing w:after="240"/>
        <w:rPr>
          <w:rFonts w:cs="Poppins"/>
          <w:i/>
          <w:iCs/>
          <w:szCs w:val="24"/>
        </w:rPr>
      </w:pPr>
      <w:r w:rsidRPr="009024C1">
        <w:rPr>
          <w:rFonts w:cs="Poppins"/>
          <w:i/>
          <w:iCs/>
          <w:szCs w:val="24"/>
        </w:rPr>
        <w:t>“enable and support healthy li</w:t>
      </w:r>
      <w:r w:rsidR="00FE3F19">
        <w:rPr>
          <w:rFonts w:cs="Poppins"/>
          <w:i/>
          <w:iCs/>
          <w:szCs w:val="24"/>
        </w:rPr>
        <w:t xml:space="preserve">ves, </w:t>
      </w:r>
      <w:r w:rsidR="00FE3F19" w:rsidRPr="00FE3F19">
        <w:rPr>
          <w:rFonts w:cs="Poppins"/>
          <w:i/>
          <w:iCs/>
          <w:szCs w:val="24"/>
        </w:rPr>
        <w:t xml:space="preserve">through both promoting good health and preventing ill-health, especially where this would address identified local health and well-being needs and reduce health inequalities between the most and least deprived </w:t>
      </w:r>
      <w:r w:rsidR="002263E1">
        <w:rPr>
          <w:rFonts w:cs="Poppins"/>
          <w:i/>
          <w:iCs/>
          <w:szCs w:val="24"/>
        </w:rPr>
        <w:t>communities”.</w:t>
      </w:r>
    </w:p>
    <w:p w14:paraId="39EAEFBC" w14:textId="2771F079" w:rsidR="00882A3C" w:rsidRDefault="00236EF9" w:rsidP="004903FF">
      <w:pPr>
        <w:spacing w:after="240"/>
        <w:rPr>
          <w:szCs w:val="24"/>
        </w:rPr>
      </w:pPr>
      <w:r>
        <w:rPr>
          <w:szCs w:val="24"/>
        </w:rPr>
        <w:t>P</w:t>
      </w:r>
      <w:r w:rsidR="00882A3C" w:rsidRPr="00054D8B">
        <w:rPr>
          <w:szCs w:val="24"/>
        </w:rPr>
        <w:t>aragraph 97 of the NPPF outlines that Local Planning Authorities should:</w:t>
      </w:r>
    </w:p>
    <w:p w14:paraId="1AC1ECCC" w14:textId="1CA60CAD" w:rsidR="006575C2" w:rsidRPr="00882A3C" w:rsidRDefault="00882A3C" w:rsidP="007653CE">
      <w:pPr>
        <w:spacing w:after="240"/>
        <w:ind w:left="993"/>
        <w:rPr>
          <w:i/>
          <w:iCs/>
          <w:szCs w:val="24"/>
        </w:rPr>
      </w:pPr>
      <w:r w:rsidRPr="00054D8B">
        <w:rPr>
          <w:i/>
          <w:iCs/>
          <w:szCs w:val="24"/>
        </w:rPr>
        <w:t>“R</w:t>
      </w:r>
      <w:r w:rsidRPr="00882A3C">
        <w:rPr>
          <w:i/>
          <w:iCs/>
          <w:szCs w:val="24"/>
        </w:rPr>
        <w:t xml:space="preserve">efuse applications for hot food takeaways and </w:t>
      </w:r>
      <w:proofErr w:type="gramStart"/>
      <w:r w:rsidRPr="00882A3C">
        <w:rPr>
          <w:i/>
          <w:iCs/>
          <w:szCs w:val="24"/>
        </w:rPr>
        <w:t>fast food</w:t>
      </w:r>
      <w:proofErr w:type="gramEnd"/>
      <w:r w:rsidRPr="00882A3C">
        <w:rPr>
          <w:i/>
          <w:iCs/>
          <w:szCs w:val="24"/>
        </w:rPr>
        <w:t xml:space="preserve"> outlets: </w:t>
      </w:r>
    </w:p>
    <w:p w14:paraId="01246976" w14:textId="69F55C3E" w:rsidR="00882A3C" w:rsidRPr="00882A3C" w:rsidRDefault="00882A3C" w:rsidP="007653CE">
      <w:pPr>
        <w:spacing w:after="240"/>
        <w:ind w:left="993"/>
        <w:rPr>
          <w:i/>
          <w:iCs/>
          <w:szCs w:val="24"/>
        </w:rPr>
      </w:pPr>
      <w:r w:rsidRPr="00882A3C">
        <w:rPr>
          <w:i/>
          <w:iCs/>
          <w:szCs w:val="24"/>
        </w:rPr>
        <w:t xml:space="preserve">a) within walking distance of schools and other places where children and young people congregate, unless the location is within a designated town centre; or </w:t>
      </w:r>
    </w:p>
    <w:p w14:paraId="09E3F0C7" w14:textId="2C05CA03" w:rsidR="00882A3C" w:rsidRPr="00882A3C" w:rsidRDefault="00882A3C" w:rsidP="007653CE">
      <w:pPr>
        <w:spacing w:after="240"/>
        <w:ind w:left="993"/>
        <w:rPr>
          <w:i/>
          <w:iCs/>
          <w:szCs w:val="24"/>
        </w:rPr>
      </w:pPr>
      <w:r w:rsidRPr="00882A3C">
        <w:rPr>
          <w:i/>
          <w:iCs/>
          <w:szCs w:val="24"/>
        </w:rPr>
        <w:t>b) in locations where there is evidence that a concentration of such uses is having an adverse impact on local health, pollution or anti-</w:t>
      </w:r>
      <w:proofErr w:type="gramStart"/>
      <w:r w:rsidRPr="00882A3C">
        <w:rPr>
          <w:i/>
          <w:iCs/>
          <w:szCs w:val="24"/>
        </w:rPr>
        <w:t>social-behaviour</w:t>
      </w:r>
      <w:proofErr w:type="gramEnd"/>
      <w:r w:rsidRPr="00054D8B">
        <w:rPr>
          <w:i/>
          <w:iCs/>
          <w:szCs w:val="24"/>
        </w:rPr>
        <w:t>”</w:t>
      </w:r>
      <w:r w:rsidRPr="00882A3C">
        <w:rPr>
          <w:i/>
          <w:iCs/>
          <w:szCs w:val="24"/>
        </w:rPr>
        <w:t xml:space="preserve">. </w:t>
      </w:r>
    </w:p>
    <w:p w14:paraId="5CCECE12" w14:textId="04C46860" w:rsidR="001D557D" w:rsidRDefault="00B05E96" w:rsidP="004903FF">
      <w:pPr>
        <w:pStyle w:val="Heading4"/>
        <w:spacing w:after="240"/>
        <w:rPr>
          <w:rFonts w:ascii="Poppins" w:hAnsi="Poppins" w:cs="Poppins"/>
          <w:b/>
          <w:bCs/>
          <w:i w:val="0"/>
          <w:iCs w:val="0"/>
          <w:color w:val="auto"/>
          <w:szCs w:val="24"/>
        </w:rPr>
      </w:pPr>
      <w:r w:rsidRPr="009024C1">
        <w:rPr>
          <w:rFonts w:ascii="Poppins" w:hAnsi="Poppins" w:cs="Poppins"/>
          <w:b/>
          <w:bCs/>
          <w:i w:val="0"/>
          <w:iCs w:val="0"/>
          <w:color w:val="auto"/>
          <w:szCs w:val="24"/>
        </w:rPr>
        <w:t xml:space="preserve">National Planning Practice Guidance </w:t>
      </w:r>
    </w:p>
    <w:p w14:paraId="7A77D798" w14:textId="7A5C0E06" w:rsidR="00FB71B8" w:rsidRPr="009024C1" w:rsidRDefault="001D6732" w:rsidP="00934415">
      <w:pPr>
        <w:spacing w:after="240"/>
        <w:rPr>
          <w:szCs w:val="24"/>
        </w:rPr>
      </w:pPr>
      <w:r w:rsidRPr="009024C1">
        <w:rPr>
          <w:szCs w:val="24"/>
        </w:rPr>
        <w:t>The N</w:t>
      </w:r>
      <w:r w:rsidR="00D26F34">
        <w:rPr>
          <w:szCs w:val="24"/>
        </w:rPr>
        <w:t xml:space="preserve">ational </w:t>
      </w:r>
      <w:r w:rsidRPr="009024C1">
        <w:rPr>
          <w:szCs w:val="24"/>
        </w:rPr>
        <w:t>P</w:t>
      </w:r>
      <w:r w:rsidR="00D26F34">
        <w:rPr>
          <w:szCs w:val="24"/>
        </w:rPr>
        <w:t xml:space="preserve">lanning </w:t>
      </w:r>
      <w:r w:rsidRPr="009024C1">
        <w:rPr>
          <w:szCs w:val="24"/>
        </w:rPr>
        <w:t>P</w:t>
      </w:r>
      <w:r w:rsidR="00D26F34">
        <w:rPr>
          <w:szCs w:val="24"/>
        </w:rPr>
        <w:t xml:space="preserve">ractice </w:t>
      </w:r>
      <w:r w:rsidRPr="009024C1">
        <w:rPr>
          <w:szCs w:val="24"/>
        </w:rPr>
        <w:t>G</w:t>
      </w:r>
      <w:r w:rsidR="00D26F34">
        <w:rPr>
          <w:szCs w:val="24"/>
        </w:rPr>
        <w:t>uidance (NPPG)</w:t>
      </w:r>
      <w:r w:rsidR="001F5178" w:rsidRPr="009024C1">
        <w:rPr>
          <w:rStyle w:val="FootnoteReference"/>
          <w:szCs w:val="24"/>
        </w:rPr>
        <w:footnoteReference w:id="2"/>
      </w:r>
      <w:r w:rsidRPr="009024C1">
        <w:rPr>
          <w:szCs w:val="24"/>
        </w:rPr>
        <w:t xml:space="preserve"> is statutory guidance that underpins the NPPF. In relation to health and wellbeing </w:t>
      </w:r>
      <w:r w:rsidR="00934415">
        <w:rPr>
          <w:szCs w:val="24"/>
        </w:rPr>
        <w:t>and</w:t>
      </w:r>
      <w:r w:rsidR="002C3CE5" w:rsidRPr="009024C1">
        <w:rPr>
          <w:szCs w:val="24"/>
        </w:rPr>
        <w:t xml:space="preserve"> creat</w:t>
      </w:r>
      <w:r w:rsidR="00934415">
        <w:rPr>
          <w:szCs w:val="24"/>
        </w:rPr>
        <w:t>ing</w:t>
      </w:r>
      <w:r w:rsidR="002C3CE5" w:rsidRPr="009024C1">
        <w:rPr>
          <w:szCs w:val="24"/>
        </w:rPr>
        <w:t xml:space="preserve"> a healthier food environment, the NPP</w:t>
      </w:r>
      <w:r w:rsidR="004A5D1A">
        <w:rPr>
          <w:szCs w:val="24"/>
        </w:rPr>
        <w:t>G</w:t>
      </w:r>
      <w:r w:rsidR="002C3CE5" w:rsidRPr="009024C1">
        <w:rPr>
          <w:szCs w:val="24"/>
        </w:rPr>
        <w:t xml:space="preserve"> states that</w:t>
      </w:r>
      <w:r w:rsidR="00843009" w:rsidRPr="009024C1">
        <w:rPr>
          <w:szCs w:val="24"/>
        </w:rPr>
        <w:t>:</w:t>
      </w:r>
    </w:p>
    <w:p w14:paraId="1BC46CD1" w14:textId="0E8536A4" w:rsidR="002C3CE5" w:rsidRPr="009024C1" w:rsidRDefault="002C3CE5" w:rsidP="00934415">
      <w:pPr>
        <w:spacing w:after="240"/>
        <w:ind w:left="1276"/>
        <w:rPr>
          <w:i/>
          <w:iCs/>
          <w:szCs w:val="24"/>
        </w:rPr>
      </w:pPr>
      <w:r w:rsidRPr="009024C1">
        <w:rPr>
          <w:i/>
          <w:iCs/>
          <w:szCs w:val="24"/>
        </w:rPr>
        <w:lastRenderedPageBreak/>
        <w:t>“</w:t>
      </w:r>
      <w:r w:rsidR="00843009" w:rsidRPr="009024C1">
        <w:rPr>
          <w:i/>
          <w:iCs/>
          <w:szCs w:val="24"/>
        </w:rPr>
        <w:t xml:space="preserve">Local planning authorities </w:t>
      </w:r>
      <w:r w:rsidRPr="009024C1">
        <w:rPr>
          <w:i/>
          <w:iCs/>
          <w:szCs w:val="24"/>
        </w:rPr>
        <w:t>can have a role by supporting opportunities for communities to access a wide range of healthier food production and consumption choices”.</w:t>
      </w:r>
    </w:p>
    <w:p w14:paraId="0B50B958" w14:textId="5CDC071C" w:rsidR="004F2513" w:rsidRPr="009024C1" w:rsidRDefault="00EB3401" w:rsidP="004903FF">
      <w:pPr>
        <w:spacing w:after="240"/>
        <w:rPr>
          <w:szCs w:val="24"/>
        </w:rPr>
      </w:pPr>
      <w:r w:rsidRPr="009024C1">
        <w:rPr>
          <w:szCs w:val="24"/>
        </w:rPr>
        <w:t xml:space="preserve">Local planning policies </w:t>
      </w:r>
      <w:r w:rsidR="00EF5DA7" w:rsidRPr="009024C1">
        <w:rPr>
          <w:szCs w:val="24"/>
        </w:rPr>
        <w:t>can seek to restrict the increasing development of particular use classes where proven appropriate. Policies and proposals may need to have a specific regard to the proximity to locations where children and young people congregate, evidence regarding high levels of obesity and deprivation and concentration of specific uses in an area.</w:t>
      </w:r>
    </w:p>
    <w:p w14:paraId="45D090FB" w14:textId="5396ED79" w:rsidR="00155B95" w:rsidRDefault="00155B95" w:rsidP="004903FF">
      <w:pPr>
        <w:pStyle w:val="Heading4"/>
        <w:spacing w:after="240"/>
        <w:rPr>
          <w:rFonts w:ascii="Poppins" w:hAnsi="Poppins" w:cs="Poppins"/>
          <w:b/>
          <w:bCs/>
          <w:i w:val="0"/>
          <w:iCs w:val="0"/>
          <w:color w:val="auto"/>
          <w:szCs w:val="24"/>
        </w:rPr>
      </w:pPr>
      <w:r w:rsidRPr="009024C1">
        <w:rPr>
          <w:rFonts w:ascii="Poppins" w:hAnsi="Poppins" w:cs="Poppins"/>
          <w:b/>
          <w:bCs/>
          <w:i w:val="0"/>
          <w:iCs w:val="0"/>
          <w:color w:val="auto"/>
          <w:szCs w:val="24"/>
        </w:rPr>
        <w:t>North Tyneside Local Plan</w:t>
      </w:r>
      <w:r w:rsidR="00D02E7A">
        <w:rPr>
          <w:rFonts w:ascii="Poppins" w:hAnsi="Poppins" w:cs="Poppins"/>
          <w:b/>
          <w:bCs/>
          <w:i w:val="0"/>
          <w:iCs w:val="0"/>
          <w:color w:val="auto"/>
          <w:szCs w:val="24"/>
        </w:rPr>
        <w:t>, 2017</w:t>
      </w:r>
      <w:r w:rsidRPr="009024C1">
        <w:rPr>
          <w:rFonts w:ascii="Poppins" w:hAnsi="Poppins" w:cs="Poppins"/>
          <w:b/>
          <w:bCs/>
          <w:i w:val="0"/>
          <w:iCs w:val="0"/>
          <w:color w:val="auto"/>
          <w:szCs w:val="24"/>
        </w:rPr>
        <w:t xml:space="preserve"> </w:t>
      </w:r>
    </w:p>
    <w:p w14:paraId="25506AC9" w14:textId="1FDF6604" w:rsidR="00F22F17" w:rsidRDefault="002C0F5B" w:rsidP="004903FF">
      <w:pPr>
        <w:autoSpaceDE w:val="0"/>
        <w:autoSpaceDN w:val="0"/>
        <w:adjustRightInd w:val="0"/>
        <w:spacing w:after="240"/>
        <w:rPr>
          <w:rFonts w:cs="Poppins"/>
          <w:kern w:val="0"/>
          <w:szCs w:val="24"/>
        </w:rPr>
      </w:pPr>
      <w:r w:rsidRPr="009024C1">
        <w:rPr>
          <w:szCs w:val="24"/>
        </w:rPr>
        <w:t>The North Tyneside Local Plan</w:t>
      </w:r>
      <w:r w:rsidR="00FF7A5B" w:rsidRPr="009024C1">
        <w:rPr>
          <w:rStyle w:val="FootnoteReference"/>
          <w:rFonts w:cs="Poppins"/>
          <w:kern w:val="0"/>
          <w:szCs w:val="24"/>
        </w:rPr>
        <w:footnoteReference w:id="3"/>
      </w:r>
      <w:r w:rsidRPr="009024C1">
        <w:rPr>
          <w:szCs w:val="24"/>
        </w:rPr>
        <w:t xml:space="preserve"> was adopted in</w:t>
      </w:r>
      <w:r w:rsidR="00D02E7A">
        <w:rPr>
          <w:szCs w:val="24"/>
        </w:rPr>
        <w:t xml:space="preserve"> July</w:t>
      </w:r>
      <w:r w:rsidRPr="009024C1">
        <w:rPr>
          <w:szCs w:val="24"/>
        </w:rPr>
        <w:t xml:space="preserve"> 2017 and outlines the </w:t>
      </w:r>
      <w:r w:rsidR="00BB6AEF" w:rsidRPr="009024C1">
        <w:rPr>
          <w:szCs w:val="24"/>
        </w:rPr>
        <w:t>material planning</w:t>
      </w:r>
      <w:r w:rsidRPr="009024C1">
        <w:rPr>
          <w:szCs w:val="24"/>
        </w:rPr>
        <w:t xml:space="preserve"> policy considerations for the Borough. </w:t>
      </w:r>
      <w:r w:rsidR="002D561B">
        <w:rPr>
          <w:szCs w:val="24"/>
        </w:rPr>
        <w:t>Policy S1.2:</w:t>
      </w:r>
      <w:r w:rsidR="002D561B" w:rsidRPr="009024C1">
        <w:rPr>
          <w:szCs w:val="24"/>
        </w:rPr>
        <w:t xml:space="preserve"> </w:t>
      </w:r>
      <w:r w:rsidR="00E51A48">
        <w:rPr>
          <w:szCs w:val="24"/>
        </w:rPr>
        <w:t>‘</w:t>
      </w:r>
      <w:r w:rsidRPr="009024C1">
        <w:rPr>
          <w:szCs w:val="24"/>
        </w:rPr>
        <w:t>Spatial Strategy for Health and Wellbeing</w:t>
      </w:r>
      <w:r w:rsidR="00E51A48">
        <w:rPr>
          <w:szCs w:val="24"/>
        </w:rPr>
        <w:t>’</w:t>
      </w:r>
      <w:r w:rsidR="006557E3" w:rsidRPr="009024C1">
        <w:rPr>
          <w:szCs w:val="24"/>
        </w:rPr>
        <w:t xml:space="preserve"> </w:t>
      </w:r>
      <w:r w:rsidR="00236EF9">
        <w:rPr>
          <w:rFonts w:cs="Poppins"/>
          <w:kern w:val="0"/>
          <w:szCs w:val="24"/>
        </w:rPr>
        <w:t>sets the strategic basis to</w:t>
      </w:r>
      <w:r w:rsidR="006557E3" w:rsidRPr="009024C1">
        <w:rPr>
          <w:rFonts w:cs="Poppins"/>
          <w:kern w:val="0"/>
          <w:szCs w:val="24"/>
        </w:rPr>
        <w:t xml:space="preserve"> maintain and enhance the health and wellbeing of residents</w:t>
      </w:r>
      <w:r w:rsidR="00236EF9">
        <w:rPr>
          <w:rFonts w:cs="Poppins"/>
          <w:kern w:val="0"/>
          <w:szCs w:val="24"/>
        </w:rPr>
        <w:t xml:space="preserve">. </w:t>
      </w:r>
      <w:r w:rsidR="0000492F" w:rsidRPr="009024C1">
        <w:rPr>
          <w:rFonts w:cs="Poppins"/>
          <w:kern w:val="0"/>
          <w:szCs w:val="24"/>
        </w:rPr>
        <w:t xml:space="preserve">Local Plan </w:t>
      </w:r>
      <w:r w:rsidR="008F2AF3">
        <w:rPr>
          <w:rFonts w:cs="Poppins"/>
          <w:kern w:val="0"/>
          <w:szCs w:val="24"/>
        </w:rPr>
        <w:t>p</w:t>
      </w:r>
      <w:r w:rsidR="0000492F" w:rsidRPr="009024C1">
        <w:rPr>
          <w:rFonts w:cs="Poppins"/>
          <w:kern w:val="0"/>
          <w:szCs w:val="24"/>
        </w:rPr>
        <w:t>olicy DM3.7</w:t>
      </w:r>
      <w:r w:rsidR="00D02E7A">
        <w:rPr>
          <w:rFonts w:cs="Poppins"/>
          <w:kern w:val="0"/>
          <w:szCs w:val="24"/>
        </w:rPr>
        <w:t xml:space="preserve">: </w:t>
      </w:r>
      <w:r w:rsidR="00E51A48">
        <w:rPr>
          <w:rFonts w:cs="Poppins"/>
          <w:kern w:val="0"/>
          <w:szCs w:val="24"/>
        </w:rPr>
        <w:t>‘</w:t>
      </w:r>
      <w:r w:rsidR="0000492F" w:rsidRPr="009024C1">
        <w:rPr>
          <w:rFonts w:cs="Poppins"/>
          <w:kern w:val="0"/>
          <w:szCs w:val="24"/>
        </w:rPr>
        <w:t>Hot Food Takeaways</w:t>
      </w:r>
      <w:r w:rsidR="00E51A48">
        <w:rPr>
          <w:rFonts w:cs="Poppins"/>
          <w:kern w:val="0"/>
          <w:szCs w:val="24"/>
        </w:rPr>
        <w:t>’</w:t>
      </w:r>
      <w:r w:rsidR="0000492F" w:rsidRPr="009024C1">
        <w:rPr>
          <w:rFonts w:cs="Poppins"/>
          <w:kern w:val="0"/>
          <w:szCs w:val="24"/>
        </w:rPr>
        <w:t xml:space="preserve"> goes further to outline instances where hot food takeaways </w:t>
      </w:r>
      <w:r w:rsidR="000222AB" w:rsidRPr="009024C1">
        <w:rPr>
          <w:rFonts w:cs="Poppins"/>
          <w:kern w:val="0"/>
          <w:szCs w:val="24"/>
        </w:rPr>
        <w:t xml:space="preserve">outlets </w:t>
      </w:r>
      <w:r w:rsidR="0000492F" w:rsidRPr="009024C1">
        <w:rPr>
          <w:rFonts w:cs="Poppins"/>
          <w:kern w:val="0"/>
          <w:szCs w:val="24"/>
        </w:rPr>
        <w:t xml:space="preserve">(previously </w:t>
      </w:r>
      <w:r w:rsidR="00652167" w:rsidRPr="009024C1">
        <w:rPr>
          <w:rFonts w:cs="Poppins"/>
          <w:kern w:val="0"/>
          <w:szCs w:val="24"/>
        </w:rPr>
        <w:t>U</w:t>
      </w:r>
      <w:r w:rsidR="00775EEA" w:rsidRPr="009024C1">
        <w:rPr>
          <w:rFonts w:cs="Poppins"/>
          <w:kern w:val="0"/>
          <w:szCs w:val="24"/>
        </w:rPr>
        <w:t xml:space="preserve">se </w:t>
      </w:r>
      <w:r w:rsidR="00652167" w:rsidRPr="009024C1">
        <w:rPr>
          <w:rFonts w:cs="Poppins"/>
          <w:kern w:val="0"/>
          <w:szCs w:val="24"/>
        </w:rPr>
        <w:t>C</w:t>
      </w:r>
      <w:r w:rsidR="00775EEA" w:rsidRPr="009024C1">
        <w:rPr>
          <w:rFonts w:cs="Poppins"/>
          <w:kern w:val="0"/>
          <w:szCs w:val="24"/>
        </w:rPr>
        <w:t xml:space="preserve">lass </w:t>
      </w:r>
      <w:r w:rsidR="0000492F" w:rsidRPr="009024C1">
        <w:rPr>
          <w:rFonts w:cs="Poppins"/>
          <w:kern w:val="0"/>
          <w:szCs w:val="24"/>
        </w:rPr>
        <w:t>A5 units</w:t>
      </w:r>
      <w:r w:rsidR="00370941">
        <w:rPr>
          <w:rFonts w:cs="Poppins"/>
          <w:kern w:val="0"/>
          <w:szCs w:val="24"/>
        </w:rPr>
        <w:t>, now Sui Generis</w:t>
      </w:r>
      <w:r w:rsidR="0000492F" w:rsidRPr="009024C1">
        <w:rPr>
          <w:rFonts w:cs="Poppins"/>
          <w:kern w:val="0"/>
          <w:szCs w:val="24"/>
        </w:rPr>
        <w:t xml:space="preserve">) will not be permitted. </w:t>
      </w:r>
    </w:p>
    <w:p w14:paraId="28F2E174" w14:textId="1942CB7E" w:rsidR="0095369D" w:rsidRDefault="0095369D" w:rsidP="004903FF">
      <w:pPr>
        <w:autoSpaceDE w:val="0"/>
        <w:autoSpaceDN w:val="0"/>
        <w:adjustRightInd w:val="0"/>
        <w:spacing w:after="240"/>
        <w:rPr>
          <w:rFonts w:cs="Poppins"/>
          <w:kern w:val="0"/>
          <w:szCs w:val="24"/>
        </w:rPr>
      </w:pPr>
      <w:r>
        <w:rPr>
          <w:rFonts w:cs="Poppins"/>
          <w:kern w:val="0"/>
          <w:szCs w:val="24"/>
        </w:rPr>
        <w:t xml:space="preserve">This relates to the physical impacts of hot food takeaways on the environment and residential amenity, the proximity of </w:t>
      </w:r>
      <w:r w:rsidR="00444D0F">
        <w:rPr>
          <w:rFonts w:cs="Poppins"/>
          <w:kern w:val="0"/>
          <w:szCs w:val="24"/>
        </w:rPr>
        <w:t xml:space="preserve">a proposed takeaway to schools, and the level of childhood obesity within the ward where the proposal is located. This </w:t>
      </w:r>
      <w:proofErr w:type="gramStart"/>
      <w:r w:rsidR="00444D0F">
        <w:rPr>
          <w:rFonts w:cs="Poppins"/>
          <w:kern w:val="0"/>
          <w:szCs w:val="24"/>
        </w:rPr>
        <w:t>in particular restricts</w:t>
      </w:r>
      <w:proofErr w:type="gramEnd"/>
      <w:r w:rsidR="00444D0F">
        <w:rPr>
          <w:rFonts w:cs="Poppins"/>
          <w:kern w:val="0"/>
          <w:szCs w:val="24"/>
        </w:rPr>
        <w:t xml:space="preserve"> hot food takeaways where more than </w:t>
      </w:r>
      <w:r w:rsidR="00444D0F" w:rsidRPr="00AD4848">
        <w:rPr>
          <w:color w:val="000000" w:themeColor="text1"/>
          <w:szCs w:val="24"/>
        </w:rPr>
        <w:t xml:space="preserve">15% of the </w:t>
      </w:r>
      <w:r w:rsidR="00444D0F">
        <w:rPr>
          <w:color w:val="000000" w:themeColor="text1"/>
          <w:szCs w:val="24"/>
        </w:rPr>
        <w:t>Y</w:t>
      </w:r>
      <w:r w:rsidR="00444D0F" w:rsidRPr="00AD4848">
        <w:rPr>
          <w:color w:val="000000" w:themeColor="text1"/>
          <w:szCs w:val="24"/>
        </w:rPr>
        <w:t>ear 6 pupils or 10%</w:t>
      </w:r>
      <w:r w:rsidR="00444D0F">
        <w:rPr>
          <w:color w:val="000000" w:themeColor="text1"/>
          <w:szCs w:val="24"/>
        </w:rPr>
        <w:t xml:space="preserve"> of reception pupils are defined as very overweight / obese.</w:t>
      </w:r>
    </w:p>
    <w:p w14:paraId="58D89477" w14:textId="400DEA92" w:rsidR="00E53109" w:rsidRDefault="00E53109" w:rsidP="004903FF">
      <w:pPr>
        <w:pStyle w:val="Heading4"/>
        <w:spacing w:after="240"/>
        <w:rPr>
          <w:rFonts w:ascii="Poppins" w:hAnsi="Poppins" w:cs="Poppins"/>
          <w:b/>
          <w:bCs/>
          <w:i w:val="0"/>
          <w:iCs w:val="0"/>
          <w:color w:val="auto"/>
          <w:szCs w:val="24"/>
        </w:rPr>
      </w:pPr>
      <w:bookmarkStart w:id="10" w:name="_Toc178320191"/>
      <w:r w:rsidRPr="009024C1">
        <w:rPr>
          <w:rFonts w:ascii="Poppins" w:hAnsi="Poppins" w:cs="Poppins"/>
          <w:b/>
          <w:bCs/>
          <w:i w:val="0"/>
          <w:iCs w:val="0"/>
          <w:color w:val="auto"/>
          <w:szCs w:val="24"/>
        </w:rPr>
        <w:t xml:space="preserve">North Tyneside Council </w:t>
      </w:r>
      <w:r w:rsidR="00974B69">
        <w:rPr>
          <w:rFonts w:ascii="Poppins" w:hAnsi="Poppins" w:cs="Poppins"/>
          <w:b/>
          <w:bCs/>
          <w:i w:val="0"/>
          <w:iCs w:val="0"/>
          <w:color w:val="auto"/>
          <w:szCs w:val="24"/>
        </w:rPr>
        <w:t>Health and Wellbeing Strategy</w:t>
      </w:r>
      <w:r w:rsidRPr="009024C1">
        <w:rPr>
          <w:rFonts w:ascii="Poppins" w:hAnsi="Poppins" w:cs="Poppins"/>
          <w:b/>
          <w:bCs/>
          <w:i w:val="0"/>
          <w:iCs w:val="0"/>
          <w:color w:val="auto"/>
          <w:szCs w:val="24"/>
        </w:rPr>
        <w:t xml:space="preserve"> </w:t>
      </w:r>
    </w:p>
    <w:p w14:paraId="7DE5F837" w14:textId="57952ADB" w:rsidR="00974B69" w:rsidRPr="009024C1" w:rsidRDefault="00974B69" w:rsidP="004903FF">
      <w:pPr>
        <w:autoSpaceDE w:val="0"/>
        <w:autoSpaceDN w:val="0"/>
        <w:adjustRightInd w:val="0"/>
        <w:spacing w:after="240"/>
        <w:rPr>
          <w:rFonts w:cs="Poppins"/>
          <w:kern w:val="0"/>
          <w:szCs w:val="24"/>
        </w:rPr>
      </w:pPr>
      <w:r>
        <w:rPr>
          <w:rFonts w:cs="Poppins"/>
          <w:kern w:val="0"/>
          <w:szCs w:val="24"/>
        </w:rPr>
        <w:t>T</w:t>
      </w:r>
      <w:r w:rsidRPr="009024C1">
        <w:rPr>
          <w:rFonts w:cs="Poppins"/>
          <w:kern w:val="0"/>
          <w:szCs w:val="24"/>
        </w:rPr>
        <w:t>he Council’s joint health and wellbeing strategy, ‘Equally Well’</w:t>
      </w:r>
      <w:r>
        <w:rPr>
          <w:rStyle w:val="FootnoteReference"/>
          <w:rFonts w:cs="Poppins"/>
          <w:kern w:val="0"/>
          <w:szCs w:val="24"/>
        </w:rPr>
        <w:footnoteReference w:id="4"/>
      </w:r>
      <w:r w:rsidRPr="009024C1">
        <w:rPr>
          <w:rFonts w:cs="Poppins"/>
          <w:kern w:val="0"/>
          <w:szCs w:val="24"/>
        </w:rPr>
        <w:t xml:space="preserve">, aims to </w:t>
      </w:r>
      <w:r w:rsidR="002849ED">
        <w:rPr>
          <w:rFonts w:cs="Poppins"/>
          <w:kern w:val="0"/>
          <w:szCs w:val="24"/>
        </w:rPr>
        <w:t>support residents to achieve</w:t>
      </w:r>
      <w:r w:rsidRPr="009024C1">
        <w:rPr>
          <w:rFonts w:cs="Poppins"/>
          <w:kern w:val="0"/>
          <w:szCs w:val="24"/>
        </w:rPr>
        <w:t xml:space="preserve"> a healthy weight and </w:t>
      </w:r>
      <w:r w:rsidR="002849ED">
        <w:rPr>
          <w:rFonts w:cs="Poppins"/>
          <w:kern w:val="0"/>
          <w:szCs w:val="24"/>
        </w:rPr>
        <w:t xml:space="preserve">promote </w:t>
      </w:r>
      <w:r w:rsidRPr="009024C1">
        <w:rPr>
          <w:rFonts w:cs="Poppins"/>
          <w:kern w:val="0"/>
          <w:szCs w:val="24"/>
        </w:rPr>
        <w:t xml:space="preserve">wellbeing throughout the </w:t>
      </w:r>
      <w:r w:rsidR="0037307C">
        <w:rPr>
          <w:rFonts w:cs="Poppins"/>
          <w:kern w:val="0"/>
          <w:szCs w:val="24"/>
        </w:rPr>
        <w:t>B</w:t>
      </w:r>
      <w:r w:rsidRPr="009024C1">
        <w:rPr>
          <w:rFonts w:cs="Poppins"/>
          <w:kern w:val="0"/>
          <w:szCs w:val="24"/>
        </w:rPr>
        <w:t>orough</w:t>
      </w:r>
      <w:r w:rsidR="002849ED">
        <w:rPr>
          <w:rFonts w:cs="Poppins"/>
          <w:kern w:val="0"/>
          <w:szCs w:val="24"/>
        </w:rPr>
        <w:t>. It sets out the basis for applying a</w:t>
      </w:r>
      <w:r w:rsidR="009B02DA">
        <w:rPr>
          <w:rFonts w:cs="Poppins"/>
          <w:kern w:val="0"/>
          <w:szCs w:val="24"/>
        </w:rPr>
        <w:t xml:space="preserve"> holistic</w:t>
      </w:r>
      <w:r w:rsidRPr="009024C1">
        <w:rPr>
          <w:rFonts w:cs="Poppins"/>
          <w:kern w:val="0"/>
          <w:szCs w:val="24"/>
        </w:rPr>
        <w:t xml:space="preserve"> system-</w:t>
      </w:r>
      <w:r w:rsidRPr="009024C1">
        <w:rPr>
          <w:rFonts w:cs="Poppins"/>
          <w:kern w:val="0"/>
          <w:szCs w:val="24"/>
        </w:rPr>
        <w:lastRenderedPageBreak/>
        <w:t xml:space="preserve">led approach </w:t>
      </w:r>
      <w:r w:rsidR="002849ED">
        <w:rPr>
          <w:rFonts w:cs="Poppins"/>
          <w:kern w:val="0"/>
          <w:szCs w:val="24"/>
        </w:rPr>
        <w:t>to</w:t>
      </w:r>
      <w:r w:rsidRPr="009024C1">
        <w:rPr>
          <w:rFonts w:cs="Poppins"/>
          <w:kern w:val="0"/>
          <w:szCs w:val="24"/>
        </w:rPr>
        <w:t xml:space="preserve"> tackl</w:t>
      </w:r>
      <w:r>
        <w:rPr>
          <w:rFonts w:cs="Poppins"/>
          <w:kern w:val="0"/>
          <w:szCs w:val="24"/>
        </w:rPr>
        <w:t>ing</w:t>
      </w:r>
      <w:r w:rsidRPr="009024C1">
        <w:rPr>
          <w:rFonts w:cs="Poppins"/>
          <w:kern w:val="0"/>
          <w:szCs w:val="24"/>
        </w:rPr>
        <w:t xml:space="preserve"> the </w:t>
      </w:r>
      <w:r w:rsidRPr="009024C1">
        <w:rPr>
          <w:szCs w:val="24"/>
        </w:rPr>
        <w:t>inequalities in health outcomes driven by the food environment</w:t>
      </w:r>
      <w:r w:rsidRPr="009024C1">
        <w:rPr>
          <w:rFonts w:cs="Poppins"/>
          <w:kern w:val="0"/>
          <w:szCs w:val="24"/>
        </w:rPr>
        <w:t xml:space="preserve"> in North Tyneside.</w:t>
      </w:r>
    </w:p>
    <w:p w14:paraId="19A50676" w14:textId="20215BBC" w:rsidR="00974B69" w:rsidRDefault="00E53109" w:rsidP="004903FF">
      <w:pPr>
        <w:autoSpaceDE w:val="0"/>
        <w:autoSpaceDN w:val="0"/>
        <w:adjustRightInd w:val="0"/>
        <w:spacing w:after="240"/>
        <w:rPr>
          <w:rFonts w:cs="Poppins"/>
          <w:kern w:val="0"/>
          <w:szCs w:val="24"/>
        </w:rPr>
      </w:pPr>
      <w:r w:rsidRPr="009024C1">
        <w:rPr>
          <w:rFonts w:cs="Poppins"/>
          <w:kern w:val="0"/>
          <w:szCs w:val="24"/>
        </w:rPr>
        <w:t>The Healthy Weight Declaration</w:t>
      </w:r>
      <w:r>
        <w:rPr>
          <w:rStyle w:val="FootnoteReference"/>
          <w:rFonts w:cs="Poppins"/>
          <w:kern w:val="0"/>
          <w:szCs w:val="24"/>
        </w:rPr>
        <w:footnoteReference w:id="5"/>
      </w:r>
      <w:r w:rsidRPr="009024C1">
        <w:rPr>
          <w:rFonts w:cs="Poppins"/>
          <w:kern w:val="0"/>
          <w:szCs w:val="24"/>
        </w:rPr>
        <w:t xml:space="preserve"> </w:t>
      </w:r>
      <w:r w:rsidR="009B02DA">
        <w:rPr>
          <w:rFonts w:cs="Poppins"/>
          <w:kern w:val="0"/>
          <w:szCs w:val="24"/>
        </w:rPr>
        <w:t xml:space="preserve">is a key component of this system wide approach. The declaration </w:t>
      </w:r>
      <w:r w:rsidRPr="009024C1">
        <w:rPr>
          <w:rFonts w:cs="Poppins"/>
          <w:kern w:val="0"/>
          <w:szCs w:val="24"/>
        </w:rPr>
        <w:t xml:space="preserve">outlines 16 commitments set by the Council </w:t>
      </w:r>
      <w:r w:rsidR="009B02DA">
        <w:rPr>
          <w:rFonts w:cs="Poppins"/>
          <w:kern w:val="0"/>
          <w:szCs w:val="24"/>
        </w:rPr>
        <w:t>to achieve its aims regarding health and wellbeing. Effective management</w:t>
      </w:r>
      <w:r w:rsidRPr="009024C1">
        <w:rPr>
          <w:rFonts w:cs="Poppins"/>
          <w:kern w:val="0"/>
          <w:szCs w:val="24"/>
        </w:rPr>
        <w:t xml:space="preserve"> of hot food takeaways plays a</w:t>
      </w:r>
      <w:r w:rsidR="009B02DA">
        <w:rPr>
          <w:rFonts w:cs="Poppins"/>
          <w:kern w:val="0"/>
          <w:szCs w:val="24"/>
        </w:rPr>
        <w:t>n important</w:t>
      </w:r>
      <w:r w:rsidRPr="009024C1">
        <w:rPr>
          <w:rFonts w:cs="Poppins"/>
          <w:kern w:val="0"/>
          <w:szCs w:val="24"/>
        </w:rPr>
        <w:t xml:space="preserve"> role </w:t>
      </w:r>
      <w:r>
        <w:rPr>
          <w:rFonts w:cs="Poppins"/>
          <w:kern w:val="0"/>
          <w:szCs w:val="24"/>
        </w:rPr>
        <w:t xml:space="preserve">in </w:t>
      </w:r>
      <w:r w:rsidR="009B02DA">
        <w:rPr>
          <w:rFonts w:cs="Poppins"/>
          <w:kern w:val="0"/>
          <w:szCs w:val="24"/>
        </w:rPr>
        <w:t xml:space="preserve">supporting these commitments and </w:t>
      </w:r>
      <w:r>
        <w:rPr>
          <w:rFonts w:cs="Poppins"/>
          <w:kern w:val="0"/>
          <w:szCs w:val="24"/>
        </w:rPr>
        <w:t xml:space="preserve">improving the health of the </w:t>
      </w:r>
      <w:r w:rsidR="0037307C">
        <w:rPr>
          <w:rFonts w:cs="Poppins"/>
          <w:kern w:val="0"/>
          <w:szCs w:val="24"/>
        </w:rPr>
        <w:t>B</w:t>
      </w:r>
      <w:r>
        <w:rPr>
          <w:rFonts w:cs="Poppins"/>
          <w:kern w:val="0"/>
          <w:szCs w:val="24"/>
        </w:rPr>
        <w:t>orough</w:t>
      </w:r>
      <w:r w:rsidRPr="009024C1">
        <w:rPr>
          <w:rFonts w:cs="Poppins"/>
          <w:kern w:val="0"/>
          <w:szCs w:val="24"/>
        </w:rPr>
        <w:t>.</w:t>
      </w:r>
    </w:p>
    <w:p w14:paraId="54D0AC72" w14:textId="13D21865" w:rsidR="00C96942" w:rsidRPr="000901D6" w:rsidRDefault="009005B8" w:rsidP="00241953">
      <w:pPr>
        <w:pStyle w:val="Heading2"/>
        <w:numPr>
          <w:ilvl w:val="0"/>
          <w:numId w:val="12"/>
        </w:numPr>
        <w:spacing w:after="240"/>
        <w:rPr>
          <w:rFonts w:ascii="Poppins" w:hAnsi="Poppins" w:cs="Poppins"/>
          <w:b/>
          <w:bCs/>
          <w:color w:val="auto"/>
          <w:sz w:val="28"/>
          <w:szCs w:val="28"/>
        </w:rPr>
      </w:pPr>
      <w:bookmarkStart w:id="11" w:name="_Toc180660522"/>
      <w:bookmarkStart w:id="12" w:name="_Toc180762270"/>
      <w:r w:rsidRPr="009024C1">
        <w:rPr>
          <w:rFonts w:ascii="Poppins" w:hAnsi="Poppins" w:cs="Poppins"/>
          <w:b/>
          <w:bCs/>
          <w:color w:val="auto"/>
          <w:sz w:val="28"/>
          <w:szCs w:val="28"/>
        </w:rPr>
        <w:t>Nutri</w:t>
      </w:r>
      <w:r w:rsidR="00D61DC4" w:rsidRPr="009024C1">
        <w:rPr>
          <w:rFonts w:ascii="Poppins" w:hAnsi="Poppins" w:cs="Poppins"/>
          <w:b/>
          <w:bCs/>
          <w:color w:val="auto"/>
          <w:sz w:val="28"/>
          <w:szCs w:val="28"/>
        </w:rPr>
        <w:t xml:space="preserve">tion </w:t>
      </w:r>
      <w:r w:rsidR="002204D1">
        <w:rPr>
          <w:rFonts w:ascii="Poppins" w:hAnsi="Poppins" w:cs="Poppins"/>
          <w:b/>
          <w:bCs/>
          <w:color w:val="auto"/>
          <w:sz w:val="28"/>
          <w:szCs w:val="28"/>
        </w:rPr>
        <w:t>D</w:t>
      </w:r>
      <w:r w:rsidR="00D61DC4" w:rsidRPr="009024C1">
        <w:rPr>
          <w:rFonts w:ascii="Poppins" w:hAnsi="Poppins" w:cs="Poppins"/>
          <w:b/>
          <w:bCs/>
          <w:color w:val="auto"/>
          <w:sz w:val="28"/>
          <w:szCs w:val="28"/>
        </w:rPr>
        <w:t xml:space="preserve">ata on </w:t>
      </w:r>
      <w:r w:rsidR="002204D1">
        <w:rPr>
          <w:rFonts w:ascii="Poppins" w:hAnsi="Poppins" w:cs="Poppins"/>
          <w:b/>
          <w:bCs/>
          <w:color w:val="auto"/>
          <w:sz w:val="28"/>
          <w:szCs w:val="28"/>
        </w:rPr>
        <w:t>H</w:t>
      </w:r>
      <w:r w:rsidR="00D61DC4" w:rsidRPr="009024C1">
        <w:rPr>
          <w:rFonts w:ascii="Poppins" w:hAnsi="Poppins" w:cs="Poppins"/>
          <w:b/>
          <w:bCs/>
          <w:color w:val="auto"/>
          <w:sz w:val="28"/>
          <w:szCs w:val="28"/>
        </w:rPr>
        <w:t xml:space="preserve">ot </w:t>
      </w:r>
      <w:r w:rsidR="002204D1">
        <w:rPr>
          <w:rFonts w:ascii="Poppins" w:hAnsi="Poppins" w:cs="Poppins"/>
          <w:b/>
          <w:bCs/>
          <w:color w:val="auto"/>
          <w:sz w:val="28"/>
          <w:szCs w:val="28"/>
        </w:rPr>
        <w:t>F</w:t>
      </w:r>
      <w:r w:rsidR="00D61DC4" w:rsidRPr="009024C1">
        <w:rPr>
          <w:rFonts w:ascii="Poppins" w:hAnsi="Poppins" w:cs="Poppins"/>
          <w:b/>
          <w:bCs/>
          <w:color w:val="auto"/>
          <w:sz w:val="28"/>
          <w:szCs w:val="28"/>
        </w:rPr>
        <w:t xml:space="preserve">ood </w:t>
      </w:r>
      <w:r w:rsidR="002204D1">
        <w:rPr>
          <w:rFonts w:ascii="Poppins" w:hAnsi="Poppins" w:cs="Poppins"/>
          <w:b/>
          <w:bCs/>
          <w:color w:val="auto"/>
          <w:sz w:val="28"/>
          <w:szCs w:val="28"/>
        </w:rPr>
        <w:t>T</w:t>
      </w:r>
      <w:r w:rsidR="00D61DC4" w:rsidRPr="009024C1">
        <w:rPr>
          <w:rFonts w:ascii="Poppins" w:hAnsi="Poppins" w:cs="Poppins"/>
          <w:b/>
          <w:bCs/>
          <w:color w:val="auto"/>
          <w:sz w:val="28"/>
          <w:szCs w:val="28"/>
        </w:rPr>
        <w:t>akeaways</w:t>
      </w:r>
      <w:bookmarkEnd w:id="10"/>
      <w:bookmarkEnd w:id="11"/>
      <w:bookmarkEnd w:id="12"/>
      <w:r w:rsidR="00D61DC4" w:rsidRPr="000901D6">
        <w:rPr>
          <w:rFonts w:ascii="Poppins" w:hAnsi="Poppins" w:cs="Poppins"/>
          <w:b/>
          <w:bCs/>
          <w:color w:val="auto"/>
          <w:sz w:val="28"/>
          <w:szCs w:val="28"/>
        </w:rPr>
        <w:t xml:space="preserve"> </w:t>
      </w:r>
    </w:p>
    <w:p w14:paraId="5A6B9FCF" w14:textId="77777777" w:rsidR="003F2BCF" w:rsidRDefault="00304086" w:rsidP="003F2BCF">
      <w:pPr>
        <w:spacing w:after="240"/>
      </w:pPr>
      <w:r w:rsidRPr="009024C1">
        <w:rPr>
          <w:rFonts w:cs="Poppins"/>
          <w:kern w:val="0"/>
          <w:szCs w:val="24"/>
        </w:rPr>
        <w:t>(</w:t>
      </w:r>
      <w:r w:rsidR="00054068" w:rsidRPr="009024C1">
        <w:rPr>
          <w:rFonts w:cs="Poppins"/>
          <w:kern w:val="0"/>
          <w:szCs w:val="24"/>
        </w:rPr>
        <w:t>NICE</w:t>
      </w:r>
      <w:r w:rsidRPr="009024C1">
        <w:rPr>
          <w:rFonts w:cs="Poppins"/>
          <w:kern w:val="0"/>
          <w:szCs w:val="24"/>
        </w:rPr>
        <w:t>)</w:t>
      </w:r>
      <w:r w:rsidR="00054068" w:rsidRPr="009024C1">
        <w:rPr>
          <w:rFonts w:cs="Poppins"/>
          <w:kern w:val="0"/>
          <w:szCs w:val="24"/>
        </w:rPr>
        <w:t xml:space="preserve"> guidance outlines that the nutritional content of food from hot food takeaways is poor because it contains high levels of trans fat, saturated fat and salt.</w:t>
      </w:r>
      <w:r w:rsidR="003F2BCF">
        <w:rPr>
          <w:rFonts w:cs="Poppins"/>
          <w:kern w:val="0"/>
          <w:szCs w:val="24"/>
        </w:rPr>
        <w:t xml:space="preserve"> </w:t>
      </w:r>
      <w:r w:rsidR="003F2BCF" w:rsidRPr="009024C1">
        <w:t>NICE Guidance</w:t>
      </w:r>
      <w:r w:rsidR="003F2BCF">
        <w:t xml:space="preserve"> </w:t>
      </w:r>
      <w:r w:rsidR="003F2BCF" w:rsidRPr="009024C1">
        <w:t>(2010) on prevention of CVD outlines that reducing salt and saturated fat intakes for the population will reduce morbidity and mortality rates from CVD</w:t>
      </w:r>
      <w:r w:rsidR="003F2BCF" w:rsidRPr="009024C1">
        <w:rPr>
          <w:rStyle w:val="FootnoteReference"/>
          <w:rFonts w:cs="Poppins"/>
          <w:kern w:val="0"/>
          <w:szCs w:val="24"/>
        </w:rPr>
        <w:footnoteReference w:id="6"/>
      </w:r>
      <w:r w:rsidR="003F2BCF" w:rsidRPr="009024C1">
        <w:t>. Furthermore, it states that Trans fats (Industrially produced trans fatty acids [IPTFAs]) are a significant health hazard and that sections of the population who regularly eat fried fast-food may be consuming substantially higher amounts of Trans fats.</w:t>
      </w:r>
      <w:r w:rsidR="003F2BCF">
        <w:t xml:space="preserve"> </w:t>
      </w:r>
    </w:p>
    <w:p w14:paraId="25BD2672" w14:textId="77777777" w:rsidR="006E21C4" w:rsidRDefault="006E21C4" w:rsidP="006E21C4">
      <w:pPr>
        <w:spacing w:after="240"/>
      </w:pPr>
      <w:r w:rsidRPr="009024C1">
        <w:t>Meals consumed from hot food takeaways are</w:t>
      </w:r>
      <w:r>
        <w:t xml:space="preserve"> generally </w:t>
      </w:r>
      <w:r w:rsidRPr="009024C1">
        <w:t xml:space="preserve">less healthy than those prepared at home as they are often high in fat, salt, sugar and lack in vitamins and minerals. As a result, </w:t>
      </w:r>
      <w:r>
        <w:t xml:space="preserve">regular </w:t>
      </w:r>
      <w:r w:rsidRPr="009024C1">
        <w:t>consum</w:t>
      </w:r>
      <w:r>
        <w:t>ption of</w:t>
      </w:r>
      <w:r w:rsidRPr="009024C1">
        <w:t xml:space="preserve"> food from hot food takeaways </w:t>
      </w:r>
      <w:r>
        <w:t>has been shown to be</w:t>
      </w:r>
      <w:r w:rsidRPr="009024C1">
        <w:t xml:space="preserve"> </w:t>
      </w:r>
      <w:r>
        <w:t>a</w:t>
      </w:r>
      <w:r w:rsidRPr="009024C1">
        <w:t xml:space="preserve"> significant factor contributing to the increasing prevalence of obesity</w:t>
      </w:r>
      <w:r w:rsidRPr="009024C1">
        <w:rPr>
          <w:rStyle w:val="FootnoteReference"/>
          <w:szCs w:val="24"/>
        </w:rPr>
        <w:footnoteReference w:id="7"/>
      </w:r>
      <w:r w:rsidRPr="009024C1">
        <w:t xml:space="preserve">. </w:t>
      </w:r>
    </w:p>
    <w:p w14:paraId="6A92201E" w14:textId="77777777" w:rsidR="006E21C4" w:rsidRDefault="006E21C4" w:rsidP="006E21C4">
      <w:pPr>
        <w:spacing w:after="240"/>
      </w:pPr>
      <w:r w:rsidRPr="009024C1">
        <w:t xml:space="preserve">The UK Health and Safety Agency (UKHSA) (previously Public Health England) highlights that the proliferation of hot food takeaways in communities creates an environment that promotes an unhealthy diet and obesity through high concentrations of advertisement of unhealthy </w:t>
      </w:r>
      <w:r w:rsidRPr="009024C1">
        <w:lastRenderedPageBreak/>
        <w:t>foods and ease of access</w:t>
      </w:r>
      <w:r w:rsidRPr="009024C1">
        <w:rPr>
          <w:rStyle w:val="FootnoteReference"/>
          <w:szCs w:val="24"/>
        </w:rPr>
        <w:footnoteReference w:id="8"/>
      </w:r>
      <w:r w:rsidRPr="009024C1">
        <w:t xml:space="preserve">. The UKHSA provides guidance on the use of planning restrictions to address the over concentration of hot food takeaways through designating ‘exclusion zones’ to restrict the development of takeaway outlets </w:t>
      </w:r>
      <w:proofErr w:type="gramStart"/>
      <w:r w:rsidRPr="009024C1">
        <w:t>in close proximity to</w:t>
      </w:r>
      <w:proofErr w:type="gramEnd"/>
      <w:r w:rsidRPr="009024C1">
        <w:t xml:space="preserve"> schools and locations frequently visited by families and children</w:t>
      </w:r>
      <w:r w:rsidRPr="009024C1">
        <w:rPr>
          <w:rStyle w:val="FootnoteReference"/>
          <w:szCs w:val="24"/>
        </w:rPr>
        <w:footnoteReference w:id="9"/>
      </w:r>
      <w:r w:rsidRPr="009024C1">
        <w:t>.</w:t>
      </w:r>
    </w:p>
    <w:p w14:paraId="1F369D34" w14:textId="77777777" w:rsidR="006E21C4" w:rsidRDefault="006E21C4" w:rsidP="006E21C4">
      <w:pPr>
        <w:spacing w:after="240"/>
        <w:rPr>
          <w:rFonts w:cs="Poppins"/>
          <w:kern w:val="0"/>
        </w:rPr>
      </w:pPr>
      <w:r w:rsidRPr="009024C1">
        <w:rPr>
          <w:rFonts w:cs="Poppins"/>
          <w:kern w:val="0"/>
        </w:rPr>
        <w:t>The Government’s Food Strategy (2022)</w:t>
      </w:r>
      <w:r w:rsidRPr="009024C1">
        <w:rPr>
          <w:rStyle w:val="FootnoteReference"/>
          <w:rFonts w:cs="Poppins"/>
          <w:kern w:val="0"/>
          <w:szCs w:val="24"/>
        </w:rPr>
        <w:footnoteReference w:id="10"/>
      </w:r>
      <w:r w:rsidRPr="009024C1">
        <w:rPr>
          <w:rFonts w:cs="Poppins"/>
          <w:kern w:val="0"/>
        </w:rPr>
        <w:t xml:space="preserve"> outlines that obesity impacts people across all demographics</w:t>
      </w:r>
      <w:r>
        <w:rPr>
          <w:rFonts w:cs="Poppins"/>
          <w:kern w:val="0"/>
        </w:rPr>
        <w:t>. but</w:t>
      </w:r>
      <w:r w:rsidRPr="009024C1">
        <w:rPr>
          <w:rFonts w:cs="Poppins"/>
          <w:kern w:val="0"/>
        </w:rPr>
        <w:t xml:space="preserve"> the lowest socio-economic groups are impacted the most. The link between obesity and lower socio-economic groups can be understood by the higher cost of healthier foods, less skills and knowledge on cooking and increased ease of access to unhealthier food options. </w:t>
      </w:r>
      <w:r>
        <w:rPr>
          <w:rFonts w:cs="Poppins"/>
          <w:kern w:val="0"/>
        </w:rPr>
        <w:t xml:space="preserve">The strategy also highlights that, </w:t>
      </w:r>
      <w:proofErr w:type="gramStart"/>
      <w:r>
        <w:rPr>
          <w:rFonts w:cs="Poppins"/>
          <w:kern w:val="0"/>
        </w:rPr>
        <w:t>a</w:t>
      </w:r>
      <w:r w:rsidRPr="009024C1">
        <w:rPr>
          <w:rFonts w:cs="Poppins"/>
          <w:kern w:val="0"/>
        </w:rPr>
        <w:t>s a result of</w:t>
      </w:r>
      <w:proofErr w:type="gramEnd"/>
      <w:r w:rsidRPr="009024C1">
        <w:rPr>
          <w:rFonts w:cs="Poppins"/>
          <w:kern w:val="0"/>
        </w:rPr>
        <w:t xml:space="preserve"> the COVID-19 pandemic, there has been a rapid growth in the takeaway sector, as well as online aggregators and delivery companies allowing for easier access to unhealthier food choices. </w:t>
      </w:r>
    </w:p>
    <w:p w14:paraId="158A9F82" w14:textId="5FF8943E" w:rsidR="00094D17" w:rsidRDefault="00CB6F7E" w:rsidP="00241953">
      <w:pPr>
        <w:pStyle w:val="Heading2"/>
        <w:numPr>
          <w:ilvl w:val="0"/>
          <w:numId w:val="12"/>
        </w:numPr>
        <w:spacing w:after="240"/>
        <w:rPr>
          <w:rFonts w:ascii="Poppins" w:hAnsi="Poppins" w:cs="Poppins"/>
          <w:b/>
          <w:bCs/>
          <w:color w:val="auto"/>
          <w:sz w:val="28"/>
          <w:szCs w:val="28"/>
        </w:rPr>
      </w:pPr>
      <w:bookmarkStart w:id="13" w:name="_Toc178320192"/>
      <w:bookmarkStart w:id="14" w:name="_Toc180660523"/>
      <w:bookmarkStart w:id="15" w:name="_Toc180762271"/>
      <w:r w:rsidRPr="001E6A86">
        <w:rPr>
          <w:rFonts w:ascii="Poppins" w:hAnsi="Poppins" w:cs="Poppins"/>
          <w:b/>
          <w:bCs/>
          <w:color w:val="auto"/>
          <w:sz w:val="28"/>
          <w:szCs w:val="28"/>
        </w:rPr>
        <w:t xml:space="preserve">Diet and </w:t>
      </w:r>
      <w:r w:rsidR="002204D1" w:rsidRPr="001E6A86">
        <w:rPr>
          <w:rFonts w:ascii="Poppins" w:hAnsi="Poppins" w:cs="Poppins"/>
          <w:b/>
          <w:bCs/>
          <w:color w:val="auto"/>
          <w:sz w:val="28"/>
          <w:szCs w:val="28"/>
        </w:rPr>
        <w:t>D</w:t>
      </w:r>
      <w:r w:rsidRPr="001E6A86">
        <w:rPr>
          <w:rFonts w:ascii="Poppins" w:hAnsi="Poppins" w:cs="Poppins"/>
          <w:b/>
          <w:bCs/>
          <w:color w:val="auto"/>
          <w:sz w:val="28"/>
          <w:szCs w:val="28"/>
        </w:rPr>
        <w:t xml:space="preserve">isease </w:t>
      </w:r>
      <w:r w:rsidR="002204D1" w:rsidRPr="001E6A86">
        <w:rPr>
          <w:rFonts w:ascii="Poppins" w:hAnsi="Poppins" w:cs="Poppins"/>
          <w:b/>
          <w:bCs/>
          <w:color w:val="auto"/>
          <w:sz w:val="28"/>
          <w:szCs w:val="28"/>
        </w:rPr>
        <w:t>M</w:t>
      </w:r>
      <w:r w:rsidRPr="001E6A86">
        <w:rPr>
          <w:rFonts w:ascii="Poppins" w:hAnsi="Poppins" w:cs="Poppins"/>
          <w:b/>
          <w:bCs/>
          <w:color w:val="auto"/>
          <w:sz w:val="28"/>
          <w:szCs w:val="28"/>
        </w:rPr>
        <w:t>ortality</w:t>
      </w:r>
      <w:bookmarkEnd w:id="13"/>
      <w:bookmarkEnd w:id="14"/>
      <w:bookmarkEnd w:id="15"/>
      <w:r w:rsidRPr="001E6A86">
        <w:rPr>
          <w:rFonts w:ascii="Poppins" w:hAnsi="Poppins" w:cs="Poppins"/>
          <w:b/>
          <w:bCs/>
          <w:color w:val="auto"/>
          <w:sz w:val="28"/>
          <w:szCs w:val="28"/>
        </w:rPr>
        <w:t xml:space="preserve"> </w:t>
      </w:r>
    </w:p>
    <w:p w14:paraId="25562310" w14:textId="155E186C" w:rsidR="00054068" w:rsidRPr="009024C1" w:rsidRDefault="00054068" w:rsidP="004903FF">
      <w:pPr>
        <w:autoSpaceDE w:val="0"/>
        <w:autoSpaceDN w:val="0"/>
        <w:adjustRightInd w:val="0"/>
        <w:spacing w:after="240"/>
        <w:rPr>
          <w:rFonts w:cs="Poppins"/>
          <w:kern w:val="0"/>
          <w:szCs w:val="24"/>
        </w:rPr>
      </w:pPr>
      <w:r w:rsidRPr="009024C1">
        <w:rPr>
          <w:rFonts w:cs="Poppins"/>
          <w:kern w:val="0"/>
          <w:szCs w:val="24"/>
        </w:rPr>
        <w:t>A diet which is high in saturated fat and salt and/or includes Trans fats contributes to the risk of developing cardiovascular disease (CVD), cancers and obesity which in turn increases the risk of type 2 diabetes.</w:t>
      </w:r>
    </w:p>
    <w:p w14:paraId="4B41320B" w14:textId="69B6FEE2" w:rsidR="00054068" w:rsidRPr="009024C1" w:rsidRDefault="00054068" w:rsidP="004903FF">
      <w:pPr>
        <w:autoSpaceDE w:val="0"/>
        <w:autoSpaceDN w:val="0"/>
        <w:adjustRightInd w:val="0"/>
        <w:spacing w:after="240"/>
        <w:rPr>
          <w:rFonts w:cs="Poppins"/>
          <w:b/>
          <w:bCs/>
          <w:kern w:val="0"/>
          <w:szCs w:val="24"/>
        </w:rPr>
      </w:pPr>
      <w:r w:rsidRPr="009024C1">
        <w:rPr>
          <w:rFonts w:cs="Poppins"/>
          <w:kern w:val="0"/>
          <w:szCs w:val="24"/>
        </w:rPr>
        <w:t>CVD mortality in those aged under 75</w:t>
      </w:r>
      <w:r w:rsidR="00A8186D" w:rsidRPr="009024C1">
        <w:rPr>
          <w:rFonts w:cs="Poppins"/>
          <w:kern w:val="0"/>
          <w:szCs w:val="24"/>
        </w:rPr>
        <w:t xml:space="preserve"> </w:t>
      </w:r>
      <w:r w:rsidRPr="009024C1">
        <w:rPr>
          <w:rFonts w:cs="Poppins"/>
          <w:kern w:val="0"/>
          <w:szCs w:val="24"/>
        </w:rPr>
        <w:t xml:space="preserve">years is an important health indicator, used in the Public Health Outcomes Framework for England. </w:t>
      </w:r>
    </w:p>
    <w:p w14:paraId="54F51080" w14:textId="3251CEE5" w:rsidR="008D4EC7" w:rsidRPr="009024C1" w:rsidRDefault="00721E47" w:rsidP="004903FF">
      <w:pPr>
        <w:autoSpaceDE w:val="0"/>
        <w:autoSpaceDN w:val="0"/>
        <w:adjustRightInd w:val="0"/>
        <w:spacing w:after="240"/>
        <w:rPr>
          <w:rFonts w:cs="Poppins"/>
          <w:kern w:val="0"/>
          <w:szCs w:val="24"/>
        </w:rPr>
      </w:pPr>
      <w:r>
        <w:rPr>
          <w:rFonts w:cs="Poppins"/>
          <w:kern w:val="0"/>
          <w:szCs w:val="24"/>
        </w:rPr>
        <w:t>For</w:t>
      </w:r>
      <w:r w:rsidR="008D4EC7" w:rsidRPr="009024C1">
        <w:rPr>
          <w:rFonts w:cs="Poppins"/>
          <w:kern w:val="0"/>
          <w:szCs w:val="24"/>
        </w:rPr>
        <w:t xml:space="preserve"> North Tyneside</w:t>
      </w:r>
      <w:r>
        <w:rPr>
          <w:rFonts w:cs="Poppins"/>
          <w:kern w:val="0"/>
          <w:szCs w:val="24"/>
        </w:rPr>
        <w:t>,</w:t>
      </w:r>
      <w:r w:rsidR="008D4EC7" w:rsidRPr="009024C1">
        <w:rPr>
          <w:rFonts w:cs="Poppins"/>
          <w:kern w:val="0"/>
          <w:szCs w:val="24"/>
        </w:rPr>
        <w:t xml:space="preserve"> CVD mortality for people aged under 75 years is </w:t>
      </w:r>
      <w:r w:rsidR="0090146B">
        <w:rPr>
          <w:rFonts w:cs="Poppins"/>
          <w:kern w:val="0"/>
          <w:szCs w:val="24"/>
        </w:rPr>
        <w:t>higher</w:t>
      </w:r>
      <w:r w:rsidR="008D4EC7" w:rsidRPr="009024C1">
        <w:rPr>
          <w:rFonts w:cs="Poppins"/>
          <w:kern w:val="0"/>
          <w:szCs w:val="24"/>
        </w:rPr>
        <w:t xml:space="preserve"> than the England average (except for </w:t>
      </w:r>
      <w:r w:rsidR="001D07F4">
        <w:rPr>
          <w:rFonts w:cs="Poppins"/>
          <w:kern w:val="0"/>
          <w:szCs w:val="24"/>
        </w:rPr>
        <w:t>three</w:t>
      </w:r>
      <w:r w:rsidR="007A1EC5">
        <w:rPr>
          <w:rFonts w:cs="Poppins"/>
          <w:kern w:val="0"/>
          <w:szCs w:val="24"/>
        </w:rPr>
        <w:t xml:space="preserve"> </w:t>
      </w:r>
      <w:r w:rsidR="008D4EC7" w:rsidRPr="009024C1">
        <w:rPr>
          <w:rFonts w:cs="Poppins"/>
          <w:kern w:val="0"/>
          <w:szCs w:val="24"/>
        </w:rPr>
        <w:t>years in the early 2000s</w:t>
      </w:r>
      <w:r w:rsidR="0090146B">
        <w:rPr>
          <w:rFonts w:cs="Poppins"/>
          <w:kern w:val="0"/>
          <w:szCs w:val="24"/>
        </w:rPr>
        <w:t>) and</w:t>
      </w:r>
      <w:r w:rsidR="00E51A48">
        <w:rPr>
          <w:rFonts w:cs="Poppins"/>
          <w:kern w:val="0"/>
          <w:szCs w:val="24"/>
        </w:rPr>
        <w:t xml:space="preserve"> is </w:t>
      </w:r>
      <w:proofErr w:type="gramStart"/>
      <w:r w:rsidR="0090146B">
        <w:rPr>
          <w:rFonts w:cs="Poppins"/>
          <w:kern w:val="0"/>
          <w:szCs w:val="24"/>
        </w:rPr>
        <w:t>similar</w:t>
      </w:r>
      <w:r w:rsidR="008D4EC7" w:rsidRPr="009024C1">
        <w:rPr>
          <w:rFonts w:cs="Poppins"/>
          <w:kern w:val="0"/>
          <w:szCs w:val="24"/>
        </w:rPr>
        <w:t xml:space="preserve"> to</w:t>
      </w:r>
      <w:proofErr w:type="gramEnd"/>
      <w:r w:rsidR="008D4EC7" w:rsidRPr="009024C1">
        <w:rPr>
          <w:rFonts w:cs="Poppins"/>
          <w:kern w:val="0"/>
          <w:szCs w:val="24"/>
        </w:rPr>
        <w:t xml:space="preserve"> the regional average</w:t>
      </w:r>
      <w:r w:rsidR="0090146B">
        <w:rPr>
          <w:rFonts w:cs="Poppins"/>
          <w:kern w:val="0"/>
          <w:szCs w:val="24"/>
        </w:rPr>
        <w:t>.</w:t>
      </w:r>
      <w:r w:rsidR="004269F6">
        <w:rPr>
          <w:rFonts w:cs="Poppins"/>
          <w:kern w:val="0"/>
          <w:szCs w:val="24"/>
        </w:rPr>
        <w:t xml:space="preserve"> Please refer to Figure 1. </w:t>
      </w:r>
    </w:p>
    <w:p w14:paraId="5FCDB727" w14:textId="5938AF84" w:rsidR="0077371A" w:rsidRDefault="008D4EC7" w:rsidP="004903FF">
      <w:pPr>
        <w:spacing w:after="240"/>
        <w:rPr>
          <w:rFonts w:cs="Poppins"/>
          <w:kern w:val="0"/>
          <w:szCs w:val="24"/>
        </w:rPr>
      </w:pPr>
      <w:r w:rsidRPr="009024C1">
        <w:rPr>
          <w:rFonts w:cs="Poppins"/>
          <w:kern w:val="0"/>
          <w:szCs w:val="24"/>
        </w:rPr>
        <w:lastRenderedPageBreak/>
        <w:t>At ward level</w:t>
      </w:r>
      <w:r w:rsidR="007B7ED8" w:rsidRPr="002211DC">
        <w:rPr>
          <w:rStyle w:val="FootnoteReference"/>
          <w:rFonts w:cs="Poppins"/>
          <w:kern w:val="0"/>
          <w:szCs w:val="24"/>
        </w:rPr>
        <w:footnoteReference w:id="11"/>
      </w:r>
      <w:r w:rsidR="007B7ED8">
        <w:rPr>
          <w:rFonts w:cs="Poppins"/>
          <w:kern w:val="0"/>
          <w:szCs w:val="24"/>
        </w:rPr>
        <w:t>,</w:t>
      </w:r>
      <w:r w:rsidRPr="009024C1">
        <w:rPr>
          <w:rFonts w:cs="Poppins"/>
          <w:kern w:val="0"/>
          <w:szCs w:val="24"/>
        </w:rPr>
        <w:t xml:space="preserve"> there are highly significant differences in under 75 years CVD mortality in North Tyneside. Rates range from</w:t>
      </w:r>
      <w:r w:rsidR="007A1EC5">
        <w:rPr>
          <w:rFonts w:cs="Poppins"/>
          <w:kern w:val="0"/>
          <w:szCs w:val="24"/>
        </w:rPr>
        <w:t xml:space="preserve"> a high</w:t>
      </w:r>
      <w:r w:rsidRPr="009024C1">
        <w:rPr>
          <w:rFonts w:cs="Poppins"/>
          <w:kern w:val="0"/>
          <w:szCs w:val="24"/>
        </w:rPr>
        <w:t xml:space="preserve"> </w:t>
      </w:r>
      <w:r w:rsidR="00360EAC" w:rsidRPr="009024C1">
        <w:rPr>
          <w:rFonts w:cs="Poppins"/>
          <w:kern w:val="0"/>
          <w:szCs w:val="24"/>
        </w:rPr>
        <w:t xml:space="preserve">184.5 per 100,000 people in </w:t>
      </w:r>
      <w:r w:rsidR="007A1EC5">
        <w:rPr>
          <w:rFonts w:cs="Poppins"/>
          <w:kern w:val="0"/>
          <w:szCs w:val="24"/>
        </w:rPr>
        <w:t xml:space="preserve">the former pre-2024 wards of </w:t>
      </w:r>
      <w:r w:rsidR="00360EAC" w:rsidRPr="009024C1">
        <w:rPr>
          <w:rFonts w:cs="Poppins"/>
          <w:kern w:val="0"/>
          <w:szCs w:val="24"/>
        </w:rPr>
        <w:t>Chirton, to 43.3 per 100,000 people in Monkseaton North.</w:t>
      </w:r>
    </w:p>
    <w:p w14:paraId="6A333BD3" w14:textId="741BFE4F" w:rsidR="003F271C" w:rsidRPr="00B04D65" w:rsidRDefault="00706863" w:rsidP="004903FF">
      <w:pPr>
        <w:pStyle w:val="ListBullet"/>
        <w:numPr>
          <w:ilvl w:val="0"/>
          <w:numId w:val="0"/>
        </w:numPr>
        <w:spacing w:after="240"/>
        <w:contextualSpacing w:val="0"/>
        <w:rPr>
          <w:szCs w:val="24"/>
        </w:rPr>
      </w:pPr>
      <w:r w:rsidRPr="00706863">
        <w:rPr>
          <w:szCs w:val="24"/>
        </w:rPr>
        <w:t xml:space="preserve">Map </w:t>
      </w:r>
      <w:r w:rsidR="00C82A04">
        <w:rPr>
          <w:szCs w:val="24"/>
        </w:rPr>
        <w:t>2</w:t>
      </w:r>
      <w:r w:rsidR="00E0739E">
        <w:rPr>
          <w:b/>
          <w:bCs/>
          <w:szCs w:val="24"/>
        </w:rPr>
        <w:t xml:space="preserve"> </w:t>
      </w:r>
      <w:r w:rsidR="00AC7D05" w:rsidRPr="00B04D65">
        <w:rPr>
          <w:szCs w:val="24"/>
        </w:rPr>
        <w:t xml:space="preserve">shows the levels of deprivation </w:t>
      </w:r>
      <w:r w:rsidR="00FA3F34" w:rsidRPr="00B04D65">
        <w:rPr>
          <w:szCs w:val="24"/>
        </w:rPr>
        <w:t>across the</w:t>
      </w:r>
      <w:r w:rsidR="00AC7D05" w:rsidRPr="00B04D65">
        <w:rPr>
          <w:szCs w:val="24"/>
        </w:rPr>
        <w:t xml:space="preserve"> </w:t>
      </w:r>
      <w:r w:rsidR="00F9431C">
        <w:rPr>
          <w:szCs w:val="24"/>
        </w:rPr>
        <w:t>w</w:t>
      </w:r>
      <w:r w:rsidR="00FA3F34" w:rsidRPr="00B04D65">
        <w:rPr>
          <w:szCs w:val="24"/>
        </w:rPr>
        <w:t xml:space="preserve">ards </w:t>
      </w:r>
      <w:r w:rsidR="00AC7D05" w:rsidRPr="00B04D65">
        <w:rPr>
          <w:szCs w:val="24"/>
        </w:rPr>
        <w:t>in North Tyneside</w:t>
      </w:r>
      <w:r w:rsidR="00FA3F34" w:rsidRPr="00B04D65">
        <w:rPr>
          <w:szCs w:val="24"/>
        </w:rPr>
        <w:t>,</w:t>
      </w:r>
      <w:r w:rsidR="004269F6">
        <w:rPr>
          <w:szCs w:val="24"/>
        </w:rPr>
        <w:t xml:space="preserve"> whilst </w:t>
      </w:r>
      <w:r w:rsidR="00605C84">
        <w:rPr>
          <w:szCs w:val="24"/>
        </w:rPr>
        <w:t xml:space="preserve">Figure 2 </w:t>
      </w:r>
      <w:r w:rsidR="00FA3F34" w:rsidRPr="00B04D65">
        <w:rPr>
          <w:szCs w:val="24"/>
        </w:rPr>
        <w:t xml:space="preserve">presents the mortality rate of CVD of persons aged under 75 years per </w:t>
      </w:r>
      <w:r w:rsidR="00F9431C">
        <w:rPr>
          <w:szCs w:val="24"/>
        </w:rPr>
        <w:t>w</w:t>
      </w:r>
      <w:r w:rsidR="00FA3F34" w:rsidRPr="00B04D65">
        <w:rPr>
          <w:szCs w:val="24"/>
        </w:rPr>
        <w:t xml:space="preserve">ard in North Tyneside. When comparing the map </w:t>
      </w:r>
      <w:r w:rsidR="00112EDC">
        <w:rPr>
          <w:szCs w:val="24"/>
        </w:rPr>
        <w:t>with Figure 2</w:t>
      </w:r>
      <w:r w:rsidR="00FA3F34" w:rsidRPr="00B04D65">
        <w:rPr>
          <w:szCs w:val="24"/>
        </w:rPr>
        <w:t xml:space="preserve">, </w:t>
      </w:r>
      <w:r w:rsidR="00833611" w:rsidRPr="00B04D65">
        <w:rPr>
          <w:szCs w:val="24"/>
        </w:rPr>
        <w:t>there</w:t>
      </w:r>
      <w:r w:rsidR="00112EDC">
        <w:rPr>
          <w:szCs w:val="24"/>
        </w:rPr>
        <w:t xml:space="preserve"> </w:t>
      </w:r>
      <w:r w:rsidR="00833611" w:rsidRPr="00B04D65">
        <w:rPr>
          <w:szCs w:val="24"/>
        </w:rPr>
        <w:t>is a</w:t>
      </w:r>
      <w:r w:rsidR="00B04D65" w:rsidRPr="00B04D65">
        <w:rPr>
          <w:szCs w:val="24"/>
        </w:rPr>
        <w:t>n emerging</w:t>
      </w:r>
      <w:r w:rsidR="00833611" w:rsidRPr="00B04D65">
        <w:rPr>
          <w:szCs w:val="24"/>
        </w:rPr>
        <w:t xml:space="preserve"> correlation between </w:t>
      </w:r>
      <w:r w:rsidR="00FC7347">
        <w:rPr>
          <w:szCs w:val="24"/>
        </w:rPr>
        <w:t xml:space="preserve">areas </w:t>
      </w:r>
      <w:r w:rsidR="00B04D65" w:rsidRPr="00B04D65">
        <w:rPr>
          <w:szCs w:val="24"/>
        </w:rPr>
        <w:t>with higher levels of deprivation and those with a higher</w:t>
      </w:r>
      <w:r w:rsidR="001D448D">
        <w:rPr>
          <w:szCs w:val="24"/>
        </w:rPr>
        <w:t xml:space="preserve"> CVD</w:t>
      </w:r>
      <w:r w:rsidR="00B04D65" w:rsidRPr="00B04D65">
        <w:rPr>
          <w:szCs w:val="24"/>
        </w:rPr>
        <w:t xml:space="preserve"> mortality rate. </w:t>
      </w:r>
    </w:p>
    <w:p w14:paraId="25AF9C83" w14:textId="78B58E28" w:rsidR="00C96942" w:rsidRDefault="005225EB" w:rsidP="004903FF">
      <w:pPr>
        <w:autoSpaceDE w:val="0"/>
        <w:autoSpaceDN w:val="0"/>
        <w:adjustRightInd w:val="0"/>
        <w:spacing w:after="240"/>
        <w:rPr>
          <w:rFonts w:cs="Poppins"/>
          <w:kern w:val="0"/>
          <w:szCs w:val="24"/>
        </w:rPr>
      </w:pPr>
      <w:r w:rsidRPr="009024C1">
        <w:rPr>
          <w:rFonts w:cs="Poppins"/>
          <w:kern w:val="0"/>
          <w:szCs w:val="24"/>
        </w:rPr>
        <w:t>Diet is an important lifestyle factor which contributes to CVD mortality, but other factors are also important including levels of physical activity and smoking.</w:t>
      </w:r>
    </w:p>
    <w:p w14:paraId="0215FF0B" w14:textId="24D0CCDC" w:rsidR="00094D17" w:rsidRDefault="00311BAA" w:rsidP="00241953">
      <w:pPr>
        <w:pStyle w:val="Heading2"/>
        <w:numPr>
          <w:ilvl w:val="0"/>
          <w:numId w:val="12"/>
        </w:numPr>
        <w:spacing w:after="240"/>
        <w:rPr>
          <w:rFonts w:ascii="Poppins" w:hAnsi="Poppins" w:cs="Poppins"/>
          <w:b/>
          <w:bCs/>
          <w:color w:val="auto"/>
          <w:sz w:val="28"/>
          <w:szCs w:val="28"/>
        </w:rPr>
      </w:pPr>
      <w:r>
        <w:rPr>
          <w:rFonts w:ascii="Poppins" w:hAnsi="Poppins" w:cs="Poppins"/>
          <w:b/>
          <w:bCs/>
          <w:color w:val="auto"/>
          <w:sz w:val="28"/>
          <w:szCs w:val="28"/>
        </w:rPr>
        <w:t xml:space="preserve">Diet, disease and </w:t>
      </w:r>
      <w:r w:rsidR="00563BA7">
        <w:rPr>
          <w:rFonts w:ascii="Poppins" w:hAnsi="Poppins" w:cs="Poppins"/>
          <w:b/>
          <w:bCs/>
          <w:color w:val="auto"/>
          <w:sz w:val="28"/>
          <w:szCs w:val="28"/>
        </w:rPr>
        <w:t>health inequalities</w:t>
      </w:r>
    </w:p>
    <w:p w14:paraId="17AA45A4" w14:textId="4A3E3F20" w:rsidR="004330EB" w:rsidRDefault="005D179B" w:rsidP="004903FF">
      <w:pPr>
        <w:autoSpaceDE w:val="0"/>
        <w:autoSpaceDN w:val="0"/>
        <w:adjustRightInd w:val="0"/>
        <w:spacing w:after="240"/>
        <w:rPr>
          <w:rFonts w:cs="Poppins"/>
          <w:kern w:val="0"/>
          <w:szCs w:val="24"/>
        </w:rPr>
      </w:pPr>
      <w:r w:rsidRPr="009024C1">
        <w:rPr>
          <w:rFonts w:cs="Poppins"/>
          <w:kern w:val="0"/>
          <w:szCs w:val="24"/>
        </w:rPr>
        <w:t>Nationally</w:t>
      </w:r>
      <w:r w:rsidR="00325C65">
        <w:rPr>
          <w:rFonts w:cs="Poppins"/>
          <w:kern w:val="0"/>
          <w:szCs w:val="24"/>
        </w:rPr>
        <w:t xml:space="preserve">, </w:t>
      </w:r>
      <w:r w:rsidR="00A84BF3">
        <w:rPr>
          <w:rFonts w:cs="Poppins"/>
          <w:kern w:val="0"/>
          <w:szCs w:val="24"/>
        </w:rPr>
        <w:t>The Office for Health Improvement and Disparities</w:t>
      </w:r>
      <w:r w:rsidRPr="009024C1">
        <w:rPr>
          <w:rFonts w:cs="Poppins"/>
          <w:kern w:val="0"/>
          <w:szCs w:val="24"/>
        </w:rPr>
        <w:t xml:space="preserve"> assesses the </w:t>
      </w:r>
      <w:r w:rsidR="00E761F5">
        <w:rPr>
          <w:rFonts w:cs="Poppins"/>
          <w:kern w:val="0"/>
          <w:szCs w:val="24"/>
        </w:rPr>
        <w:t>likely factors that</w:t>
      </w:r>
      <w:r w:rsidRPr="009024C1">
        <w:rPr>
          <w:rFonts w:cs="Poppins"/>
          <w:kern w:val="0"/>
          <w:szCs w:val="24"/>
        </w:rPr>
        <w:t xml:space="preserve"> contribute to health inequalities (avoidable differences in health) between </w:t>
      </w:r>
      <w:r w:rsidR="00325C65">
        <w:rPr>
          <w:rFonts w:cs="Poppins"/>
          <w:kern w:val="0"/>
          <w:szCs w:val="24"/>
        </w:rPr>
        <w:t>L</w:t>
      </w:r>
      <w:r w:rsidRPr="009024C1">
        <w:rPr>
          <w:rFonts w:cs="Poppins"/>
          <w:kern w:val="0"/>
          <w:szCs w:val="24"/>
        </w:rPr>
        <w:t xml:space="preserve">ocal </w:t>
      </w:r>
      <w:r w:rsidR="00325C65">
        <w:rPr>
          <w:rFonts w:cs="Poppins"/>
          <w:kern w:val="0"/>
          <w:szCs w:val="24"/>
        </w:rPr>
        <w:t>A</w:t>
      </w:r>
      <w:r w:rsidRPr="009024C1">
        <w:rPr>
          <w:rFonts w:cs="Poppins"/>
          <w:kern w:val="0"/>
          <w:szCs w:val="24"/>
        </w:rPr>
        <w:t>uthority areas</w:t>
      </w:r>
      <w:r w:rsidR="00E761F5">
        <w:rPr>
          <w:rFonts w:cs="Poppins"/>
          <w:kern w:val="0"/>
          <w:szCs w:val="24"/>
        </w:rPr>
        <w:t xml:space="preserve"> across</w:t>
      </w:r>
      <w:r w:rsidRPr="009024C1">
        <w:rPr>
          <w:rFonts w:cs="Poppins"/>
          <w:kern w:val="0"/>
          <w:szCs w:val="24"/>
        </w:rPr>
        <w:t xml:space="preserve"> England and within </w:t>
      </w:r>
      <w:r w:rsidR="00325C65">
        <w:rPr>
          <w:rFonts w:cs="Poppins"/>
          <w:kern w:val="0"/>
          <w:szCs w:val="24"/>
        </w:rPr>
        <w:t>L</w:t>
      </w:r>
      <w:r w:rsidRPr="009024C1">
        <w:rPr>
          <w:rFonts w:cs="Poppins"/>
          <w:kern w:val="0"/>
          <w:szCs w:val="24"/>
        </w:rPr>
        <w:t xml:space="preserve">ocal </w:t>
      </w:r>
      <w:r w:rsidR="00325C65">
        <w:rPr>
          <w:rFonts w:cs="Poppins"/>
          <w:kern w:val="0"/>
          <w:szCs w:val="24"/>
        </w:rPr>
        <w:t>A</w:t>
      </w:r>
      <w:r w:rsidRPr="009024C1">
        <w:rPr>
          <w:rFonts w:cs="Poppins"/>
          <w:kern w:val="0"/>
          <w:szCs w:val="24"/>
        </w:rPr>
        <w:t xml:space="preserve">uthority areas. This data for North Tyneside </w:t>
      </w:r>
      <w:r w:rsidR="00325C65">
        <w:rPr>
          <w:rFonts w:cs="Poppins"/>
          <w:kern w:val="0"/>
          <w:szCs w:val="24"/>
        </w:rPr>
        <w:t>is</w:t>
      </w:r>
      <w:r w:rsidRPr="009024C1">
        <w:rPr>
          <w:rFonts w:cs="Poppins"/>
          <w:kern w:val="0"/>
          <w:szCs w:val="24"/>
        </w:rPr>
        <w:t xml:space="preserve"> provided</w:t>
      </w:r>
      <w:r w:rsidR="002E53C4">
        <w:rPr>
          <w:rFonts w:cs="Poppins"/>
          <w:kern w:val="0"/>
          <w:szCs w:val="24"/>
        </w:rPr>
        <w:t xml:space="preserve"> on Figures 1 and 2</w:t>
      </w:r>
      <w:r w:rsidR="004769BA" w:rsidRPr="002211DC">
        <w:rPr>
          <w:rFonts w:cs="Poppins"/>
          <w:kern w:val="0"/>
          <w:szCs w:val="24"/>
        </w:rPr>
        <w:t>.</w:t>
      </w:r>
      <w:r w:rsidR="004769BA">
        <w:rPr>
          <w:rFonts w:cs="Poppins"/>
          <w:kern w:val="0"/>
          <w:szCs w:val="24"/>
        </w:rPr>
        <w:t xml:space="preserve"> </w:t>
      </w:r>
    </w:p>
    <w:p w14:paraId="49ADC09C" w14:textId="44103B3E" w:rsidR="005D179B" w:rsidRPr="009024C1" w:rsidRDefault="005D179B" w:rsidP="004903FF">
      <w:pPr>
        <w:autoSpaceDE w:val="0"/>
        <w:autoSpaceDN w:val="0"/>
        <w:adjustRightInd w:val="0"/>
        <w:spacing w:after="240"/>
        <w:rPr>
          <w:rFonts w:cs="Poppins"/>
          <w:kern w:val="0"/>
        </w:rPr>
      </w:pPr>
      <w:r w:rsidRPr="009024C1">
        <w:rPr>
          <w:rFonts w:cs="Poppins"/>
          <w:kern w:val="0"/>
          <w:szCs w:val="24"/>
        </w:rPr>
        <w:t>The gap in life expectancy between North Tyneside and England for 202</w:t>
      </w:r>
      <w:r w:rsidR="003D5E07">
        <w:rPr>
          <w:rFonts w:cs="Poppins"/>
          <w:kern w:val="0"/>
          <w:szCs w:val="24"/>
        </w:rPr>
        <w:t>1/</w:t>
      </w:r>
      <w:r w:rsidRPr="009024C1">
        <w:rPr>
          <w:rFonts w:cs="Poppins"/>
          <w:kern w:val="0"/>
          <w:szCs w:val="24"/>
        </w:rPr>
        <w:t xml:space="preserve">22 </w:t>
      </w:r>
      <w:r w:rsidR="003D5E07">
        <w:rPr>
          <w:rFonts w:cs="Poppins"/>
          <w:kern w:val="0"/>
          <w:szCs w:val="24"/>
        </w:rPr>
        <w:t xml:space="preserve">– 2022/23 </w:t>
      </w:r>
      <w:r w:rsidRPr="009024C1">
        <w:rPr>
          <w:rFonts w:cs="Poppins"/>
          <w:kern w:val="0"/>
          <w:szCs w:val="24"/>
        </w:rPr>
        <w:t>is 1</w:t>
      </w:r>
      <w:r w:rsidR="003D5E07">
        <w:rPr>
          <w:rFonts w:cs="Poppins"/>
          <w:kern w:val="0"/>
          <w:szCs w:val="24"/>
        </w:rPr>
        <w:t xml:space="preserve">.3 </w:t>
      </w:r>
      <w:r w:rsidRPr="009024C1">
        <w:rPr>
          <w:rFonts w:cs="Poppins"/>
          <w:kern w:val="0"/>
          <w:szCs w:val="24"/>
        </w:rPr>
        <w:t>year</w:t>
      </w:r>
      <w:r w:rsidR="00383E79">
        <w:rPr>
          <w:rFonts w:cs="Poppins"/>
          <w:kern w:val="0"/>
          <w:szCs w:val="24"/>
        </w:rPr>
        <w:t xml:space="preserve"> for males</w:t>
      </w:r>
      <w:r w:rsidRPr="009024C1">
        <w:rPr>
          <w:rFonts w:cs="Poppins"/>
          <w:kern w:val="0"/>
          <w:szCs w:val="24"/>
        </w:rPr>
        <w:t xml:space="preserve"> (England</w:t>
      </w:r>
      <w:r w:rsidR="00147EB7" w:rsidRPr="009024C1">
        <w:rPr>
          <w:rFonts w:cs="Poppins"/>
          <w:kern w:val="0"/>
          <w:szCs w:val="24"/>
        </w:rPr>
        <w:t xml:space="preserve"> at</w:t>
      </w:r>
      <w:r w:rsidRPr="009024C1">
        <w:rPr>
          <w:rFonts w:cs="Poppins"/>
          <w:kern w:val="0"/>
          <w:szCs w:val="24"/>
        </w:rPr>
        <w:t xml:space="preserve"> 7</w:t>
      </w:r>
      <w:r w:rsidR="003D5E07">
        <w:rPr>
          <w:rFonts w:cs="Poppins"/>
          <w:kern w:val="0"/>
          <w:szCs w:val="24"/>
        </w:rPr>
        <w:t>9.5</w:t>
      </w:r>
      <w:r w:rsidRPr="009024C1">
        <w:rPr>
          <w:rFonts w:cs="Poppins"/>
          <w:kern w:val="0"/>
          <w:szCs w:val="24"/>
        </w:rPr>
        <w:t xml:space="preserve"> years and North Tyneside </w:t>
      </w:r>
      <w:r w:rsidR="00147EB7" w:rsidRPr="009024C1">
        <w:rPr>
          <w:rFonts w:cs="Poppins"/>
          <w:kern w:val="0"/>
          <w:szCs w:val="24"/>
        </w:rPr>
        <w:t xml:space="preserve">at </w:t>
      </w:r>
      <w:r w:rsidRPr="009024C1">
        <w:rPr>
          <w:rFonts w:cs="Poppins"/>
          <w:kern w:val="0"/>
          <w:szCs w:val="24"/>
        </w:rPr>
        <w:t>7</w:t>
      </w:r>
      <w:r w:rsidR="003D5E07">
        <w:rPr>
          <w:rFonts w:cs="Poppins"/>
          <w:kern w:val="0"/>
          <w:szCs w:val="24"/>
        </w:rPr>
        <w:t>8</w:t>
      </w:r>
      <w:r w:rsidRPr="009024C1">
        <w:rPr>
          <w:rFonts w:cs="Poppins"/>
          <w:kern w:val="0"/>
          <w:szCs w:val="24"/>
        </w:rPr>
        <w:t>.</w:t>
      </w:r>
      <w:r w:rsidR="003D5E07">
        <w:rPr>
          <w:rFonts w:cs="Poppins"/>
          <w:kern w:val="0"/>
          <w:szCs w:val="24"/>
        </w:rPr>
        <w:t>2</w:t>
      </w:r>
      <w:r w:rsidRPr="009024C1">
        <w:rPr>
          <w:rFonts w:cs="Poppins"/>
          <w:kern w:val="0"/>
          <w:szCs w:val="24"/>
        </w:rPr>
        <w:t xml:space="preserve"> years) and </w:t>
      </w:r>
      <w:r w:rsidR="00A012F0" w:rsidRPr="009024C1">
        <w:rPr>
          <w:rFonts w:cs="Poppins"/>
          <w:kern w:val="0"/>
          <w:szCs w:val="24"/>
        </w:rPr>
        <w:t xml:space="preserve">is </w:t>
      </w:r>
      <w:r w:rsidR="005E1C19">
        <w:rPr>
          <w:rFonts w:cs="Poppins"/>
          <w:kern w:val="0"/>
          <w:szCs w:val="24"/>
        </w:rPr>
        <w:t>1</w:t>
      </w:r>
      <w:r w:rsidR="00A012F0" w:rsidRPr="009024C1">
        <w:rPr>
          <w:rFonts w:cs="Poppins"/>
          <w:kern w:val="0"/>
          <w:szCs w:val="24"/>
        </w:rPr>
        <w:t xml:space="preserve"> years</w:t>
      </w:r>
      <w:r w:rsidR="00383E79">
        <w:rPr>
          <w:rFonts w:cs="Poppins"/>
          <w:kern w:val="0"/>
          <w:szCs w:val="24"/>
        </w:rPr>
        <w:t xml:space="preserve"> for females</w:t>
      </w:r>
      <w:r w:rsidR="00A012F0" w:rsidRPr="009024C1">
        <w:rPr>
          <w:rFonts w:cs="Poppins"/>
          <w:kern w:val="0"/>
          <w:szCs w:val="24"/>
        </w:rPr>
        <w:t xml:space="preserve"> (England </w:t>
      </w:r>
      <w:r w:rsidR="00147EB7" w:rsidRPr="009024C1">
        <w:rPr>
          <w:rFonts w:cs="Poppins"/>
          <w:kern w:val="0"/>
          <w:szCs w:val="24"/>
        </w:rPr>
        <w:t xml:space="preserve">at </w:t>
      </w:r>
      <w:r w:rsidR="00A012F0" w:rsidRPr="009024C1">
        <w:rPr>
          <w:rFonts w:cs="Poppins"/>
          <w:kern w:val="0"/>
          <w:szCs w:val="24"/>
        </w:rPr>
        <w:t>8</w:t>
      </w:r>
      <w:r w:rsidR="005E1C19">
        <w:rPr>
          <w:rFonts w:cs="Poppins"/>
          <w:kern w:val="0"/>
          <w:szCs w:val="24"/>
        </w:rPr>
        <w:t>3</w:t>
      </w:r>
      <w:r w:rsidR="00A012F0" w:rsidRPr="009024C1">
        <w:rPr>
          <w:rFonts w:cs="Poppins"/>
          <w:kern w:val="0"/>
          <w:szCs w:val="24"/>
        </w:rPr>
        <w:t>.</w:t>
      </w:r>
      <w:r w:rsidR="005E1C19">
        <w:rPr>
          <w:rFonts w:cs="Poppins"/>
          <w:kern w:val="0"/>
          <w:szCs w:val="24"/>
        </w:rPr>
        <w:t>2</w:t>
      </w:r>
      <w:r w:rsidR="00A012F0" w:rsidRPr="009024C1">
        <w:rPr>
          <w:rFonts w:cs="Poppins"/>
          <w:kern w:val="0"/>
          <w:szCs w:val="24"/>
        </w:rPr>
        <w:t xml:space="preserve"> </w:t>
      </w:r>
      <w:r w:rsidR="00813CD0">
        <w:rPr>
          <w:rFonts w:cs="Poppins"/>
          <w:kern w:val="0"/>
          <w:szCs w:val="24"/>
        </w:rPr>
        <w:t xml:space="preserve">years </w:t>
      </w:r>
      <w:r w:rsidR="00A012F0" w:rsidRPr="009024C1">
        <w:rPr>
          <w:rFonts w:cs="Poppins"/>
          <w:kern w:val="0"/>
          <w:szCs w:val="24"/>
        </w:rPr>
        <w:t xml:space="preserve">and North Tyneside </w:t>
      </w:r>
      <w:r w:rsidR="00147EB7" w:rsidRPr="009024C1">
        <w:rPr>
          <w:rFonts w:cs="Poppins"/>
          <w:kern w:val="0"/>
          <w:szCs w:val="24"/>
        </w:rPr>
        <w:t xml:space="preserve">at </w:t>
      </w:r>
      <w:r w:rsidR="00A012F0" w:rsidRPr="009024C1">
        <w:rPr>
          <w:rFonts w:cs="Poppins"/>
          <w:kern w:val="0"/>
          <w:szCs w:val="24"/>
        </w:rPr>
        <w:t>82.</w:t>
      </w:r>
      <w:r w:rsidR="005E1C19">
        <w:rPr>
          <w:rFonts w:cs="Poppins"/>
          <w:kern w:val="0"/>
          <w:szCs w:val="24"/>
        </w:rPr>
        <w:t>2</w:t>
      </w:r>
      <w:r w:rsidR="00813CD0">
        <w:rPr>
          <w:rFonts w:cs="Poppins"/>
          <w:kern w:val="0"/>
          <w:szCs w:val="24"/>
        </w:rPr>
        <w:t xml:space="preserve"> years</w:t>
      </w:r>
      <w:r w:rsidR="00A012F0" w:rsidRPr="009024C1">
        <w:rPr>
          <w:rFonts w:cs="Poppins"/>
          <w:kern w:val="0"/>
          <w:szCs w:val="24"/>
        </w:rPr>
        <w:t>)</w:t>
      </w:r>
      <w:r w:rsidR="006717C5">
        <w:rPr>
          <w:rStyle w:val="FootnoteReference"/>
          <w:rFonts w:cs="Poppins"/>
          <w:kern w:val="0"/>
          <w:szCs w:val="24"/>
        </w:rPr>
        <w:footnoteReference w:id="12"/>
      </w:r>
      <w:r w:rsidR="00A012F0" w:rsidRPr="009024C1">
        <w:rPr>
          <w:rFonts w:cs="Poppins"/>
          <w:kern w:val="0"/>
          <w:szCs w:val="24"/>
        </w:rPr>
        <w:t>.</w:t>
      </w:r>
      <w:r w:rsidR="008320C3" w:rsidRPr="009024C1">
        <w:rPr>
          <w:rFonts w:cs="Poppins"/>
          <w:kern w:val="0"/>
          <w:szCs w:val="24"/>
        </w:rPr>
        <w:t xml:space="preserve"> However, the gap in life expectancy within North Tyneside is much greater. For males, it is </w:t>
      </w:r>
      <w:r w:rsidR="005A58C0" w:rsidRPr="009024C1">
        <w:rPr>
          <w:rFonts w:cs="Poppins"/>
          <w:kern w:val="0"/>
          <w:szCs w:val="24"/>
        </w:rPr>
        <w:t>11.3 years</w:t>
      </w:r>
      <w:r w:rsidR="00A012F0" w:rsidRPr="009024C1">
        <w:rPr>
          <w:rFonts w:cs="Poppins"/>
          <w:kern w:val="0"/>
          <w:szCs w:val="24"/>
        </w:rPr>
        <w:t xml:space="preserve"> </w:t>
      </w:r>
      <w:r w:rsidR="004C0DA0" w:rsidRPr="009024C1">
        <w:rPr>
          <w:rFonts w:cs="Poppins"/>
          <w:kern w:val="0"/>
          <w:szCs w:val="24"/>
        </w:rPr>
        <w:t>between the most deprived area and the least deprived area and</w:t>
      </w:r>
      <w:r w:rsidR="005A58C0" w:rsidRPr="009024C1">
        <w:rPr>
          <w:rFonts w:cs="Poppins"/>
          <w:kern w:val="0"/>
          <w:szCs w:val="24"/>
        </w:rPr>
        <w:t xml:space="preserve"> 11.2</w:t>
      </w:r>
      <w:r w:rsidR="004C0DA0" w:rsidRPr="009024C1">
        <w:rPr>
          <w:rFonts w:cs="Poppins"/>
          <w:b/>
          <w:bCs/>
          <w:kern w:val="0"/>
          <w:szCs w:val="24"/>
        </w:rPr>
        <w:t xml:space="preserve"> </w:t>
      </w:r>
      <w:r w:rsidR="004C0DA0" w:rsidRPr="009024C1">
        <w:rPr>
          <w:rFonts w:cs="Poppins"/>
          <w:kern w:val="0"/>
          <w:szCs w:val="24"/>
        </w:rPr>
        <w:t>for females. For males</w:t>
      </w:r>
      <w:r w:rsidR="007C4A68" w:rsidRPr="009024C1">
        <w:rPr>
          <w:rFonts w:cs="Poppins"/>
          <w:kern w:val="0"/>
          <w:szCs w:val="24"/>
        </w:rPr>
        <w:t>,</w:t>
      </w:r>
      <w:r w:rsidR="004C0DA0" w:rsidRPr="009024C1">
        <w:rPr>
          <w:rFonts w:cs="Poppins"/>
          <w:kern w:val="0"/>
          <w:szCs w:val="24"/>
        </w:rPr>
        <w:t xml:space="preserve"> </w:t>
      </w:r>
      <w:r w:rsidR="00EB726D" w:rsidRPr="009024C1">
        <w:rPr>
          <w:rFonts w:cs="Poppins"/>
          <w:kern w:val="0"/>
          <w:szCs w:val="24"/>
        </w:rPr>
        <w:t>20.4%</w:t>
      </w:r>
      <w:r w:rsidR="004C0DA0" w:rsidRPr="009024C1">
        <w:rPr>
          <w:rFonts w:cs="Poppins"/>
          <w:kern w:val="0"/>
          <w:szCs w:val="24"/>
        </w:rPr>
        <w:t xml:space="preserve"> of this gap is explained by CVD and for females</w:t>
      </w:r>
      <w:r w:rsidR="00EB726D" w:rsidRPr="009024C1">
        <w:rPr>
          <w:rFonts w:cs="Poppins"/>
          <w:kern w:val="0"/>
          <w:szCs w:val="24"/>
        </w:rPr>
        <w:t>,</w:t>
      </w:r>
      <w:r w:rsidR="004C0DA0" w:rsidRPr="009024C1">
        <w:rPr>
          <w:rFonts w:cs="Poppins"/>
          <w:kern w:val="0"/>
          <w:szCs w:val="24"/>
        </w:rPr>
        <w:t xml:space="preserve"> </w:t>
      </w:r>
      <w:r w:rsidR="00EB726D" w:rsidRPr="009024C1">
        <w:rPr>
          <w:rFonts w:cs="Poppins"/>
          <w:kern w:val="0"/>
          <w:szCs w:val="24"/>
        </w:rPr>
        <w:t>23.6%</w:t>
      </w:r>
      <w:r w:rsidR="004C0DA0" w:rsidRPr="009024C1">
        <w:rPr>
          <w:rFonts w:cs="Poppins"/>
          <w:kern w:val="0"/>
          <w:szCs w:val="24"/>
        </w:rPr>
        <w:t xml:space="preserve"> of the gap is </w:t>
      </w:r>
      <w:r w:rsidR="004C0DA0" w:rsidRPr="009024C1">
        <w:rPr>
          <w:rFonts w:cs="Poppins"/>
          <w:kern w:val="0"/>
          <w:szCs w:val="24"/>
        </w:rPr>
        <w:lastRenderedPageBreak/>
        <w:t>explained by CVD. CVD is the single biggest contributor to inequalities in life expectancy within the Borough.</w:t>
      </w:r>
      <w:r w:rsidR="004C0DA0" w:rsidRPr="009024C1">
        <w:rPr>
          <w:rFonts w:cs="Poppins"/>
          <w:kern w:val="0"/>
        </w:rPr>
        <w:t xml:space="preserve"> </w:t>
      </w:r>
      <w:r w:rsidR="00FC3871" w:rsidRPr="009024C1">
        <w:rPr>
          <w:rFonts w:cs="Poppins"/>
          <w:kern w:val="0"/>
        </w:rPr>
        <w:t xml:space="preserve"> </w:t>
      </w:r>
    </w:p>
    <w:p w14:paraId="4CA28070" w14:textId="77777777" w:rsidR="001F0AA8" w:rsidRDefault="00FA6739" w:rsidP="001F0AA8">
      <w:pPr>
        <w:rPr>
          <w:sz w:val="20"/>
          <w:szCs w:val="20"/>
        </w:rPr>
      </w:pPr>
      <w:bookmarkStart w:id="16" w:name="_Toc178320194"/>
      <w:r w:rsidRPr="001A10E0">
        <w:rPr>
          <w:b/>
          <w:bCs/>
          <w:noProof/>
          <w:szCs w:val="24"/>
        </w:rPr>
        <w:drawing>
          <wp:anchor distT="0" distB="0" distL="114300" distR="114300" simplePos="0" relativeHeight="251595776" behindDoc="0" locked="0" layoutInCell="1" allowOverlap="1" wp14:anchorId="0A278D4E" wp14:editId="61B40BA8">
            <wp:simplePos x="0" y="0"/>
            <wp:positionH relativeFrom="margin">
              <wp:posOffset>22860</wp:posOffset>
            </wp:positionH>
            <wp:positionV relativeFrom="paragraph">
              <wp:posOffset>414020</wp:posOffset>
            </wp:positionV>
            <wp:extent cx="5729605" cy="4363720"/>
            <wp:effectExtent l="0" t="0" r="4445" b="17780"/>
            <wp:wrapTopAndBottom/>
            <wp:docPr id="943595004" name="Chart 1">
              <a:extLst xmlns:a="http://schemas.openxmlformats.org/drawingml/2006/main">
                <a:ext uri="{FF2B5EF4-FFF2-40B4-BE49-F238E27FC236}">
                  <a16:creationId xmlns:a16="http://schemas.microsoft.com/office/drawing/2014/main" id="{24606C5A-D408-86BD-57D0-65E595E22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EF52E6">
        <w:rPr>
          <w:b/>
          <w:bCs/>
          <w:szCs w:val="24"/>
        </w:rPr>
        <w:t xml:space="preserve">Figure 1: </w:t>
      </w:r>
      <w:r w:rsidR="001A10E0">
        <w:rPr>
          <w:b/>
          <w:bCs/>
          <w:szCs w:val="24"/>
        </w:rPr>
        <w:t>C</w:t>
      </w:r>
      <w:r w:rsidR="001A10E0" w:rsidRPr="001A10E0">
        <w:rPr>
          <w:b/>
          <w:bCs/>
          <w:szCs w:val="24"/>
        </w:rPr>
        <w:t>VD trend for North Tyneside from 2001 – 2022:</w:t>
      </w:r>
      <w:r w:rsidR="001F0AA8" w:rsidRPr="001F0AA8">
        <w:rPr>
          <w:sz w:val="20"/>
          <w:szCs w:val="20"/>
        </w:rPr>
        <w:t xml:space="preserve"> </w:t>
      </w:r>
    </w:p>
    <w:p w14:paraId="4A5D0941" w14:textId="26BA1ACA" w:rsidR="001F0AA8" w:rsidRPr="009574B3" w:rsidRDefault="001F0AA8" w:rsidP="001F0AA8">
      <w:pPr>
        <w:jc w:val="right"/>
        <w:rPr>
          <w:sz w:val="20"/>
          <w:szCs w:val="20"/>
        </w:rPr>
      </w:pPr>
      <w:r w:rsidRPr="009574B3">
        <w:rPr>
          <w:sz w:val="20"/>
          <w:szCs w:val="20"/>
        </w:rPr>
        <w:t>Source: Department of Health and Social Care</w:t>
      </w:r>
      <w:r>
        <w:rPr>
          <w:sz w:val="20"/>
          <w:szCs w:val="20"/>
        </w:rPr>
        <w:t>.</w:t>
      </w:r>
    </w:p>
    <w:p w14:paraId="39B3B85D" w14:textId="6E38E8AA" w:rsidR="001A10E0" w:rsidRPr="001A10E0" w:rsidRDefault="001A10E0" w:rsidP="004903FF">
      <w:pPr>
        <w:spacing w:after="240"/>
        <w:rPr>
          <w:rFonts w:eastAsiaTheme="majorEastAsia" w:cs="Poppins"/>
          <w:b/>
          <w:bCs/>
          <w:sz w:val="28"/>
          <w:szCs w:val="28"/>
        </w:rPr>
      </w:pPr>
      <w:r w:rsidRPr="001A10E0">
        <w:rPr>
          <w:rFonts w:cs="Poppins"/>
          <w:b/>
          <w:bCs/>
          <w:sz w:val="28"/>
          <w:szCs w:val="28"/>
        </w:rPr>
        <w:br w:type="page"/>
      </w:r>
    </w:p>
    <w:p w14:paraId="252AE118" w14:textId="2206074B" w:rsidR="001F0AA8" w:rsidRPr="001F0AA8" w:rsidRDefault="001F0AA8" w:rsidP="004903FF">
      <w:pPr>
        <w:spacing w:after="240"/>
        <w:rPr>
          <w:b/>
          <w:bCs/>
          <w:noProof/>
          <w:szCs w:val="24"/>
        </w:rPr>
      </w:pPr>
      <w:r w:rsidRPr="001F0AA8">
        <w:rPr>
          <w:b/>
          <w:bCs/>
          <w:noProof/>
          <w:szCs w:val="24"/>
        </w:rPr>
        <w:lastRenderedPageBreak/>
        <w:t>Map 1: Indices of Deprivation 2019, ,Ward and Lower Super Outpur Area</w:t>
      </w:r>
    </w:p>
    <w:p w14:paraId="1494F929" w14:textId="28CB9549" w:rsidR="009E1DA3" w:rsidRDefault="009E1DA3" w:rsidP="004903FF">
      <w:pPr>
        <w:spacing w:after="240"/>
        <w:rPr>
          <w:b/>
          <w:bCs/>
          <w:szCs w:val="24"/>
        </w:rPr>
      </w:pPr>
      <w:r w:rsidRPr="000928B4">
        <w:rPr>
          <w:noProof/>
          <w:szCs w:val="24"/>
        </w:rPr>
        <w:drawing>
          <wp:anchor distT="0" distB="0" distL="114300" distR="114300" simplePos="0" relativeHeight="251676672" behindDoc="0" locked="0" layoutInCell="1" allowOverlap="1" wp14:anchorId="09508585" wp14:editId="2BF673F7">
            <wp:simplePos x="0" y="0"/>
            <wp:positionH relativeFrom="margin">
              <wp:posOffset>-12700</wp:posOffset>
            </wp:positionH>
            <wp:positionV relativeFrom="paragraph">
              <wp:posOffset>88900</wp:posOffset>
            </wp:positionV>
            <wp:extent cx="5219700" cy="3846830"/>
            <wp:effectExtent l="0" t="0" r="0" b="1270"/>
            <wp:wrapSquare wrapText="bothSides"/>
            <wp:docPr id="1369086026" name="Picture 1"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71695" name="Picture 1" descr="A map of different colored areas&#10;&#10;Description automatically generated"/>
                    <pic:cNvPicPr/>
                  </pic:nvPicPr>
                  <pic:blipFill rotWithShape="1">
                    <a:blip r:embed="rId10">
                      <a:extLst>
                        <a:ext uri="{28A0092B-C50C-407E-A947-70E740481C1C}">
                          <a14:useLocalDpi xmlns:a14="http://schemas.microsoft.com/office/drawing/2010/main" val="0"/>
                        </a:ext>
                      </a:extLst>
                    </a:blip>
                    <a:srcRect t="992"/>
                    <a:stretch/>
                  </pic:blipFill>
                  <pic:spPr bwMode="auto">
                    <a:xfrm>
                      <a:off x="0" y="0"/>
                      <a:ext cx="5219700" cy="384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FC3B0" w14:textId="28317532" w:rsidR="009E1DA3" w:rsidRDefault="009E1DA3" w:rsidP="004903FF">
      <w:pPr>
        <w:spacing w:after="240"/>
        <w:rPr>
          <w:b/>
          <w:bCs/>
          <w:szCs w:val="24"/>
        </w:rPr>
      </w:pPr>
    </w:p>
    <w:p w14:paraId="41296D87" w14:textId="77777777" w:rsidR="009E1DA3" w:rsidRDefault="009E1DA3" w:rsidP="004903FF">
      <w:pPr>
        <w:spacing w:after="240"/>
        <w:rPr>
          <w:b/>
          <w:bCs/>
          <w:szCs w:val="24"/>
        </w:rPr>
      </w:pPr>
    </w:p>
    <w:p w14:paraId="5B82E3F2" w14:textId="77777777" w:rsidR="001F0AA8" w:rsidRDefault="001F0AA8" w:rsidP="004903FF">
      <w:pPr>
        <w:spacing w:after="240"/>
        <w:rPr>
          <w:b/>
          <w:bCs/>
          <w:szCs w:val="24"/>
        </w:rPr>
      </w:pPr>
    </w:p>
    <w:p w14:paraId="229E5444" w14:textId="77777777" w:rsidR="001F0AA8" w:rsidRDefault="001F0AA8" w:rsidP="004903FF">
      <w:pPr>
        <w:spacing w:after="240"/>
        <w:rPr>
          <w:b/>
          <w:bCs/>
          <w:szCs w:val="24"/>
        </w:rPr>
      </w:pPr>
    </w:p>
    <w:p w14:paraId="179332BF" w14:textId="77777777" w:rsidR="001F0AA8" w:rsidRDefault="001F0AA8" w:rsidP="004903FF">
      <w:pPr>
        <w:spacing w:after="240"/>
        <w:rPr>
          <w:b/>
          <w:bCs/>
          <w:szCs w:val="24"/>
        </w:rPr>
      </w:pPr>
    </w:p>
    <w:p w14:paraId="19B066C0" w14:textId="77777777" w:rsidR="001F0AA8" w:rsidRDefault="001F0AA8" w:rsidP="004903FF">
      <w:pPr>
        <w:spacing w:after="240"/>
        <w:rPr>
          <w:b/>
          <w:bCs/>
          <w:szCs w:val="24"/>
        </w:rPr>
      </w:pPr>
    </w:p>
    <w:p w14:paraId="240CB52C" w14:textId="77777777" w:rsidR="001F0AA8" w:rsidRDefault="001F0AA8" w:rsidP="004903FF">
      <w:pPr>
        <w:spacing w:after="240"/>
        <w:rPr>
          <w:b/>
          <w:bCs/>
          <w:szCs w:val="24"/>
        </w:rPr>
      </w:pPr>
    </w:p>
    <w:p w14:paraId="0C30B643" w14:textId="77777777" w:rsidR="001F0AA8" w:rsidRDefault="001F0AA8" w:rsidP="004903FF">
      <w:pPr>
        <w:spacing w:after="240"/>
        <w:rPr>
          <w:b/>
          <w:bCs/>
          <w:szCs w:val="24"/>
        </w:rPr>
      </w:pPr>
    </w:p>
    <w:p w14:paraId="263365ED" w14:textId="77777777" w:rsidR="001F0AA8" w:rsidRDefault="001F0AA8" w:rsidP="004903FF">
      <w:pPr>
        <w:spacing w:after="240"/>
        <w:rPr>
          <w:b/>
          <w:bCs/>
          <w:szCs w:val="24"/>
        </w:rPr>
      </w:pPr>
    </w:p>
    <w:p w14:paraId="47271BCE" w14:textId="4020C342" w:rsidR="009E1DA3" w:rsidRPr="001F0AA8" w:rsidRDefault="001F0AA8" w:rsidP="009E1DA3">
      <w:pPr>
        <w:spacing w:after="240"/>
        <w:rPr>
          <w:b/>
          <w:bCs/>
          <w:szCs w:val="24"/>
        </w:rPr>
      </w:pPr>
      <w:r w:rsidRPr="000A41DE">
        <w:rPr>
          <w:noProof/>
          <w:szCs w:val="24"/>
        </w:rPr>
        <w:drawing>
          <wp:anchor distT="0" distB="0" distL="114300" distR="114300" simplePos="0" relativeHeight="251664384" behindDoc="0" locked="0" layoutInCell="1" allowOverlap="0" wp14:anchorId="301ED632" wp14:editId="7288881B">
            <wp:simplePos x="0" y="0"/>
            <wp:positionH relativeFrom="margin">
              <wp:posOffset>0</wp:posOffset>
            </wp:positionH>
            <wp:positionV relativeFrom="paragraph">
              <wp:posOffset>269240</wp:posOffset>
            </wp:positionV>
            <wp:extent cx="5270500" cy="3263900"/>
            <wp:effectExtent l="0" t="0" r="6350" b="12700"/>
            <wp:wrapSquare wrapText="bothSides"/>
            <wp:docPr id="1679448895" name="Chart 1">
              <a:extLst xmlns:a="http://schemas.openxmlformats.org/drawingml/2006/main">
                <a:ext uri="{FF2B5EF4-FFF2-40B4-BE49-F238E27FC236}">
                  <a16:creationId xmlns:a16="http://schemas.microsoft.com/office/drawing/2014/main" id="{E9A01471-6786-9DFB-14AB-5A7E5CF46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F52E6">
        <w:rPr>
          <w:b/>
          <w:bCs/>
          <w:szCs w:val="24"/>
        </w:rPr>
        <w:t xml:space="preserve">Figure 2: </w:t>
      </w:r>
      <w:r w:rsidR="001A10E0" w:rsidRPr="001A10E0">
        <w:rPr>
          <w:b/>
          <w:bCs/>
          <w:szCs w:val="24"/>
        </w:rPr>
        <w:t xml:space="preserve">Mortality from CVD per </w:t>
      </w:r>
      <w:r w:rsidR="00F9431C">
        <w:rPr>
          <w:b/>
          <w:bCs/>
          <w:szCs w:val="24"/>
        </w:rPr>
        <w:t>W</w:t>
      </w:r>
      <w:r w:rsidR="001A10E0" w:rsidRPr="001A10E0">
        <w:rPr>
          <w:b/>
          <w:bCs/>
          <w:szCs w:val="24"/>
        </w:rPr>
        <w:t>ard</w:t>
      </w:r>
    </w:p>
    <w:p w14:paraId="572CFE57" w14:textId="3FA1E025" w:rsidR="009E1DA3" w:rsidRDefault="009E1DA3" w:rsidP="009E1DA3">
      <w:pPr>
        <w:spacing w:after="240"/>
        <w:rPr>
          <w:rFonts w:cs="Poppins"/>
          <w:b/>
          <w:bCs/>
          <w:sz w:val="28"/>
          <w:szCs w:val="28"/>
        </w:rPr>
      </w:pPr>
    </w:p>
    <w:p w14:paraId="75C3CDE1" w14:textId="77777777" w:rsidR="009E1DA3" w:rsidRPr="009574B3" w:rsidRDefault="009E1DA3" w:rsidP="009E1DA3">
      <w:pPr>
        <w:rPr>
          <w:sz w:val="20"/>
          <w:szCs w:val="20"/>
        </w:rPr>
      </w:pPr>
      <w:r w:rsidRPr="009574B3">
        <w:rPr>
          <w:sz w:val="20"/>
          <w:szCs w:val="20"/>
        </w:rPr>
        <w:t>Source: Department of Health and Social Care</w:t>
      </w:r>
      <w:r>
        <w:rPr>
          <w:sz w:val="20"/>
          <w:szCs w:val="20"/>
        </w:rPr>
        <w:t>.</w:t>
      </w:r>
    </w:p>
    <w:p w14:paraId="6AD93D05" w14:textId="77777777" w:rsidR="009E1DA3" w:rsidRDefault="009E1DA3" w:rsidP="009E1DA3">
      <w:pPr>
        <w:spacing w:after="240"/>
        <w:rPr>
          <w:rFonts w:cs="Poppins"/>
          <w:b/>
          <w:bCs/>
          <w:sz w:val="28"/>
          <w:szCs w:val="28"/>
        </w:rPr>
      </w:pPr>
    </w:p>
    <w:bookmarkEnd w:id="16"/>
    <w:p w14:paraId="1EBAA6CC" w14:textId="0BAE5AA3" w:rsidR="0079059F" w:rsidRPr="009024C1" w:rsidRDefault="00BE2431" w:rsidP="004903FF">
      <w:pPr>
        <w:spacing w:after="240"/>
        <w:rPr>
          <w:szCs w:val="24"/>
        </w:rPr>
      </w:pPr>
      <w:r>
        <w:rPr>
          <w:szCs w:val="24"/>
        </w:rPr>
        <w:lastRenderedPageBreak/>
        <w:t>Figure 3</w:t>
      </w:r>
      <w:r w:rsidR="00150A41" w:rsidRPr="009024C1">
        <w:rPr>
          <w:szCs w:val="24"/>
        </w:rPr>
        <w:t xml:space="preserve"> </w:t>
      </w:r>
      <w:r w:rsidR="00563BA7">
        <w:rPr>
          <w:szCs w:val="24"/>
        </w:rPr>
        <w:t>illustrates</w:t>
      </w:r>
      <w:r w:rsidR="00150A41" w:rsidRPr="009024C1">
        <w:rPr>
          <w:szCs w:val="24"/>
        </w:rPr>
        <w:t xml:space="preserve"> the prevalence of Coronary Heart Disease (CHD) in North Tyneside. </w:t>
      </w:r>
      <w:r w:rsidR="0079059F" w:rsidRPr="009024C1">
        <w:rPr>
          <w:szCs w:val="24"/>
        </w:rPr>
        <w:t>CHD prevalence (those people living with CHD) in North Tyneside is 3.9%, which is the same as the North East average</w:t>
      </w:r>
      <w:r w:rsidR="00813FCF">
        <w:rPr>
          <w:szCs w:val="24"/>
        </w:rPr>
        <w:t>. H</w:t>
      </w:r>
      <w:r w:rsidR="0079059F" w:rsidRPr="009024C1">
        <w:rPr>
          <w:szCs w:val="24"/>
        </w:rPr>
        <w:t>owever</w:t>
      </w:r>
      <w:r w:rsidR="00813FCF">
        <w:rPr>
          <w:szCs w:val="24"/>
        </w:rPr>
        <w:t>,</w:t>
      </w:r>
      <w:r w:rsidR="0079059F" w:rsidRPr="009024C1">
        <w:rPr>
          <w:szCs w:val="24"/>
        </w:rPr>
        <w:t xml:space="preserve"> </w:t>
      </w:r>
      <w:r w:rsidR="00813FCF">
        <w:rPr>
          <w:szCs w:val="24"/>
        </w:rPr>
        <w:t xml:space="preserve">this </w:t>
      </w:r>
      <w:r w:rsidR="0079059F" w:rsidRPr="009024C1">
        <w:rPr>
          <w:szCs w:val="24"/>
        </w:rPr>
        <w:t xml:space="preserve">is higher than the England average of 3%. </w:t>
      </w:r>
    </w:p>
    <w:p w14:paraId="5021C652" w14:textId="115EEA12" w:rsidR="00497EA3" w:rsidRPr="009024C1" w:rsidRDefault="00497EA3" w:rsidP="004903FF">
      <w:pPr>
        <w:pStyle w:val="ListBullet"/>
        <w:numPr>
          <w:ilvl w:val="0"/>
          <w:numId w:val="0"/>
        </w:numPr>
        <w:spacing w:after="240"/>
        <w:contextualSpacing w:val="0"/>
        <w:rPr>
          <w:szCs w:val="24"/>
        </w:rPr>
      </w:pPr>
      <w:r w:rsidRPr="009024C1">
        <w:rPr>
          <w:szCs w:val="24"/>
        </w:rPr>
        <w:t>Emergency hospital admissions for CHD by ward vary from 178.9 per 100</w:t>
      </w:r>
      <w:r w:rsidR="00721E47">
        <w:rPr>
          <w:szCs w:val="24"/>
        </w:rPr>
        <w:t>,000</w:t>
      </w:r>
      <w:r w:rsidRPr="009024C1">
        <w:rPr>
          <w:szCs w:val="24"/>
        </w:rPr>
        <w:t xml:space="preserve"> pe</w:t>
      </w:r>
      <w:r w:rsidR="00AF3308">
        <w:rPr>
          <w:szCs w:val="24"/>
        </w:rPr>
        <w:t>rsons</w:t>
      </w:r>
      <w:r w:rsidRPr="009024C1">
        <w:rPr>
          <w:szCs w:val="24"/>
        </w:rPr>
        <w:t xml:space="preserve"> in Chirton, to 81 per 100</w:t>
      </w:r>
      <w:r w:rsidR="00721E47">
        <w:rPr>
          <w:szCs w:val="24"/>
        </w:rPr>
        <w:t>,000</w:t>
      </w:r>
      <w:r w:rsidRPr="009024C1">
        <w:rPr>
          <w:szCs w:val="24"/>
        </w:rPr>
        <w:t xml:space="preserve"> pe</w:t>
      </w:r>
      <w:r w:rsidR="00AF3308">
        <w:rPr>
          <w:szCs w:val="24"/>
        </w:rPr>
        <w:t xml:space="preserve">rsons </w:t>
      </w:r>
      <w:r w:rsidRPr="009024C1">
        <w:rPr>
          <w:szCs w:val="24"/>
        </w:rPr>
        <w:t>in Weetslade. The North Tyneside average is 126.5 per 100</w:t>
      </w:r>
      <w:r w:rsidR="00721E47">
        <w:rPr>
          <w:szCs w:val="24"/>
        </w:rPr>
        <w:t>,000</w:t>
      </w:r>
      <w:r w:rsidRPr="009024C1">
        <w:rPr>
          <w:szCs w:val="24"/>
        </w:rPr>
        <w:t xml:space="preserve"> pe</w:t>
      </w:r>
      <w:r w:rsidR="00AF3308">
        <w:rPr>
          <w:szCs w:val="24"/>
        </w:rPr>
        <w:t xml:space="preserve">rsons. </w:t>
      </w:r>
      <w:r w:rsidRPr="009024C1">
        <w:rPr>
          <w:szCs w:val="24"/>
        </w:rPr>
        <w:t xml:space="preserve"> </w:t>
      </w:r>
    </w:p>
    <w:p w14:paraId="532C6046" w14:textId="08588D5E" w:rsidR="00010AEB" w:rsidRPr="009024C1" w:rsidRDefault="00010AEB" w:rsidP="004903FF">
      <w:pPr>
        <w:autoSpaceDE w:val="0"/>
        <w:autoSpaceDN w:val="0"/>
        <w:adjustRightInd w:val="0"/>
        <w:spacing w:after="240"/>
        <w:rPr>
          <w:rFonts w:cs="Poppins"/>
          <w:kern w:val="0"/>
          <w:szCs w:val="24"/>
        </w:rPr>
      </w:pPr>
      <w:r w:rsidRPr="009024C1">
        <w:rPr>
          <w:rFonts w:cs="Poppins"/>
          <w:kern w:val="0"/>
          <w:szCs w:val="24"/>
        </w:rPr>
        <w:t>Diabetes prevalence (those people recorded as living with diabetes) in North Tyneside is</w:t>
      </w:r>
      <w:r w:rsidR="00424F32" w:rsidRPr="009024C1">
        <w:rPr>
          <w:rFonts w:cs="Poppins"/>
          <w:kern w:val="0"/>
          <w:szCs w:val="24"/>
        </w:rPr>
        <w:t xml:space="preserve"> 8.7%, which is slightly lower than the </w:t>
      </w:r>
      <w:r w:rsidRPr="009024C1">
        <w:rPr>
          <w:rFonts w:cs="Poppins"/>
          <w:kern w:val="0"/>
          <w:szCs w:val="24"/>
        </w:rPr>
        <w:t xml:space="preserve">England </w:t>
      </w:r>
      <w:r w:rsidR="00424F32" w:rsidRPr="009024C1">
        <w:rPr>
          <w:rFonts w:cs="Poppins"/>
          <w:kern w:val="0"/>
          <w:szCs w:val="24"/>
        </w:rPr>
        <w:t>a</w:t>
      </w:r>
      <w:r w:rsidRPr="009024C1">
        <w:rPr>
          <w:rFonts w:cs="Poppins"/>
          <w:kern w:val="0"/>
          <w:szCs w:val="24"/>
        </w:rPr>
        <w:t xml:space="preserve">verage </w:t>
      </w:r>
      <w:r w:rsidR="00424F32" w:rsidRPr="009024C1">
        <w:rPr>
          <w:rFonts w:cs="Poppins"/>
          <w:kern w:val="0"/>
          <w:szCs w:val="24"/>
        </w:rPr>
        <w:t>of 8.9</w:t>
      </w:r>
      <w:r w:rsidR="00BB6AEF" w:rsidRPr="009024C1">
        <w:rPr>
          <w:rFonts w:cs="Poppins"/>
          <w:kern w:val="0"/>
          <w:szCs w:val="24"/>
        </w:rPr>
        <w:t>% and</w:t>
      </w:r>
      <w:r w:rsidR="00424F32" w:rsidRPr="009024C1">
        <w:rPr>
          <w:rFonts w:cs="Poppins"/>
          <w:kern w:val="0"/>
          <w:szCs w:val="24"/>
        </w:rPr>
        <w:t xml:space="preserve"> the same </w:t>
      </w:r>
      <w:r w:rsidRPr="009024C1">
        <w:rPr>
          <w:rFonts w:cs="Poppins"/>
          <w:kern w:val="0"/>
          <w:szCs w:val="24"/>
        </w:rPr>
        <w:t>to the North East average.</w:t>
      </w:r>
    </w:p>
    <w:p w14:paraId="5A84F44C" w14:textId="53BE14A6" w:rsidR="004769BA" w:rsidRDefault="00885013" w:rsidP="004903FF">
      <w:pPr>
        <w:pStyle w:val="ListBullet"/>
        <w:numPr>
          <w:ilvl w:val="0"/>
          <w:numId w:val="0"/>
        </w:numPr>
        <w:spacing w:after="240"/>
        <w:contextualSpacing w:val="0"/>
        <w:rPr>
          <w:b/>
          <w:bCs/>
          <w:szCs w:val="24"/>
        </w:rPr>
      </w:pPr>
      <w:bookmarkStart w:id="17" w:name="_Toc178320195"/>
      <w:r>
        <w:rPr>
          <w:noProof/>
        </w:rPr>
        <w:drawing>
          <wp:anchor distT="0" distB="0" distL="114300" distR="114300" simplePos="0" relativeHeight="251614208" behindDoc="0" locked="0" layoutInCell="1" allowOverlap="1" wp14:anchorId="1EC437E0" wp14:editId="6785618A">
            <wp:simplePos x="0" y="0"/>
            <wp:positionH relativeFrom="margin">
              <wp:align>right</wp:align>
            </wp:positionH>
            <wp:positionV relativeFrom="paragraph">
              <wp:posOffset>354330</wp:posOffset>
            </wp:positionV>
            <wp:extent cx="5729605" cy="4431030"/>
            <wp:effectExtent l="0" t="0" r="4445" b="7620"/>
            <wp:wrapTopAndBottom/>
            <wp:docPr id="1535706154" name="Chart 1">
              <a:extLst xmlns:a="http://schemas.openxmlformats.org/drawingml/2006/main">
                <a:ext uri="{FF2B5EF4-FFF2-40B4-BE49-F238E27FC236}">
                  <a16:creationId xmlns:a16="http://schemas.microsoft.com/office/drawing/2014/main" id="{D4C421CA-7944-3E99-0EBC-35910F8CC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EF52E6">
        <w:rPr>
          <w:b/>
          <w:bCs/>
          <w:szCs w:val="24"/>
        </w:rPr>
        <w:t xml:space="preserve">Figure 3: </w:t>
      </w:r>
      <w:r w:rsidR="004769BA" w:rsidRPr="000A41DE">
        <w:rPr>
          <w:b/>
          <w:bCs/>
          <w:szCs w:val="24"/>
        </w:rPr>
        <w:t>Prevalence of CHD in North Tyneside</w:t>
      </w:r>
      <w:r w:rsidR="004769BA">
        <w:rPr>
          <w:b/>
          <w:bCs/>
          <w:szCs w:val="24"/>
        </w:rPr>
        <w:t xml:space="preserve"> per Ward</w:t>
      </w:r>
      <w:r w:rsidR="001D557D">
        <w:rPr>
          <w:b/>
          <w:bCs/>
          <w:szCs w:val="24"/>
        </w:rPr>
        <w:t>:</w:t>
      </w:r>
    </w:p>
    <w:p w14:paraId="5308E45F" w14:textId="1BA543FD" w:rsidR="004769BA" w:rsidRDefault="00885013" w:rsidP="004903FF">
      <w:pPr>
        <w:pStyle w:val="ListBullet"/>
        <w:numPr>
          <w:ilvl w:val="0"/>
          <w:numId w:val="0"/>
        </w:numPr>
        <w:spacing w:after="240"/>
        <w:contextualSpacing w:val="0"/>
        <w:rPr>
          <w:b/>
          <w:bCs/>
          <w:szCs w:val="24"/>
        </w:rPr>
      </w:pPr>
      <w:r>
        <w:rPr>
          <w:noProof/>
        </w:rPr>
        <mc:AlternateContent>
          <mc:Choice Requires="wps">
            <w:drawing>
              <wp:anchor distT="45720" distB="45720" distL="114300" distR="114300" simplePos="0" relativeHeight="251616256" behindDoc="0" locked="0" layoutInCell="1" allowOverlap="1" wp14:anchorId="30241090" wp14:editId="2E2DEF71">
                <wp:simplePos x="0" y="0"/>
                <wp:positionH relativeFrom="margin">
                  <wp:align>left</wp:align>
                </wp:positionH>
                <wp:positionV relativeFrom="paragraph">
                  <wp:posOffset>4658149</wp:posOffset>
                </wp:positionV>
                <wp:extent cx="3263900" cy="1404620"/>
                <wp:effectExtent l="0" t="0" r="0" b="0"/>
                <wp:wrapSquare wrapText="bothSides"/>
                <wp:docPr id="567189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404620"/>
                        </a:xfrm>
                        <a:prstGeom prst="rect">
                          <a:avLst/>
                        </a:prstGeom>
                        <a:solidFill>
                          <a:srgbClr val="FFFFFF"/>
                        </a:solidFill>
                        <a:ln w="9525">
                          <a:noFill/>
                          <a:miter lim="800000"/>
                          <a:headEnd/>
                          <a:tailEnd/>
                        </a:ln>
                      </wps:spPr>
                      <wps:txbx>
                        <w:txbxContent>
                          <w:p w14:paraId="2BB1434B" w14:textId="77777777" w:rsidR="004769BA" w:rsidRPr="009574B3" w:rsidRDefault="004769BA" w:rsidP="004769BA">
                            <w:pPr>
                              <w:rPr>
                                <w:sz w:val="20"/>
                                <w:szCs w:val="20"/>
                              </w:rPr>
                            </w:pPr>
                            <w:r w:rsidRPr="009574B3">
                              <w:rPr>
                                <w:sz w:val="20"/>
                                <w:szCs w:val="20"/>
                              </w:rPr>
                              <w:t>Source: Department of Health and Social Care</w:t>
                            </w:r>
                            <w:r>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41090" id="_x0000_s1027" type="#_x0000_t202" style="position:absolute;margin-left:0;margin-top:366.8pt;width:257pt;height:110.6pt;z-index:251616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n+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8mi2vVjm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" stroked="f">
                <v:textbox style="mso-fit-shape-to-text:t">
                  <w:txbxContent>
                    <w:p w14:paraId="2BB1434B" w14:textId="77777777" w:rsidR="004769BA" w:rsidRPr="009574B3" w:rsidRDefault="004769BA" w:rsidP="004769BA">
                      <w:pPr>
                        <w:rPr>
                          <w:sz w:val="20"/>
                          <w:szCs w:val="20"/>
                        </w:rPr>
                      </w:pPr>
                      <w:r w:rsidRPr="009574B3">
                        <w:rPr>
                          <w:sz w:val="20"/>
                          <w:szCs w:val="20"/>
                        </w:rPr>
                        <w:t>Source: Department of Health and Social Care</w:t>
                      </w:r>
                      <w:r>
                        <w:rPr>
                          <w:sz w:val="20"/>
                          <w:szCs w:val="20"/>
                        </w:rPr>
                        <w:t>.</w:t>
                      </w:r>
                    </w:p>
                  </w:txbxContent>
                </v:textbox>
                <w10:wrap type="square" anchorx="margin"/>
              </v:shape>
            </w:pict>
          </mc:Fallback>
        </mc:AlternateContent>
      </w:r>
    </w:p>
    <w:p w14:paraId="572B3460" w14:textId="118168EF" w:rsidR="004769BA" w:rsidRDefault="004769BA" w:rsidP="004903FF">
      <w:pPr>
        <w:pStyle w:val="ListBullet"/>
        <w:numPr>
          <w:ilvl w:val="0"/>
          <w:numId w:val="0"/>
        </w:numPr>
        <w:spacing w:after="240"/>
        <w:contextualSpacing w:val="0"/>
        <w:rPr>
          <w:b/>
          <w:bCs/>
          <w:szCs w:val="24"/>
        </w:rPr>
      </w:pPr>
    </w:p>
    <w:p w14:paraId="75BF3A4B" w14:textId="30BFCE89" w:rsidR="00A54EE3" w:rsidRDefault="00A54EE3" w:rsidP="00241953">
      <w:pPr>
        <w:pStyle w:val="Heading2"/>
        <w:numPr>
          <w:ilvl w:val="0"/>
          <w:numId w:val="12"/>
        </w:numPr>
        <w:spacing w:after="240"/>
        <w:rPr>
          <w:rFonts w:ascii="Poppins" w:hAnsi="Poppins" w:cs="Poppins"/>
          <w:b/>
          <w:bCs/>
          <w:color w:val="auto"/>
          <w:sz w:val="28"/>
          <w:szCs w:val="28"/>
        </w:rPr>
      </w:pPr>
      <w:bookmarkStart w:id="18" w:name="_Toc180660526"/>
      <w:bookmarkStart w:id="19" w:name="_Toc180762274"/>
      <w:r w:rsidRPr="009024C1">
        <w:rPr>
          <w:rFonts w:ascii="Poppins" w:hAnsi="Poppins" w:cs="Poppins"/>
          <w:b/>
          <w:bCs/>
          <w:color w:val="auto"/>
          <w:sz w:val="28"/>
          <w:szCs w:val="28"/>
        </w:rPr>
        <w:lastRenderedPageBreak/>
        <w:t xml:space="preserve">Childhood </w:t>
      </w:r>
      <w:r w:rsidR="002204D1">
        <w:rPr>
          <w:rFonts w:ascii="Poppins" w:hAnsi="Poppins" w:cs="Poppins"/>
          <w:b/>
          <w:bCs/>
          <w:color w:val="auto"/>
          <w:sz w:val="28"/>
          <w:szCs w:val="28"/>
        </w:rPr>
        <w:t>O</w:t>
      </w:r>
      <w:r w:rsidRPr="009024C1">
        <w:rPr>
          <w:rFonts w:ascii="Poppins" w:hAnsi="Poppins" w:cs="Poppins"/>
          <w:b/>
          <w:bCs/>
          <w:color w:val="auto"/>
          <w:sz w:val="28"/>
          <w:szCs w:val="28"/>
        </w:rPr>
        <w:t xml:space="preserve">besity </w:t>
      </w:r>
      <w:r w:rsidR="002204D1">
        <w:rPr>
          <w:rFonts w:ascii="Poppins" w:hAnsi="Poppins" w:cs="Poppins"/>
          <w:b/>
          <w:bCs/>
          <w:color w:val="auto"/>
          <w:sz w:val="28"/>
          <w:szCs w:val="28"/>
        </w:rPr>
        <w:t>D</w:t>
      </w:r>
      <w:r w:rsidRPr="009024C1">
        <w:rPr>
          <w:rFonts w:ascii="Poppins" w:hAnsi="Poppins" w:cs="Poppins"/>
          <w:b/>
          <w:bCs/>
          <w:color w:val="auto"/>
          <w:sz w:val="28"/>
          <w:szCs w:val="28"/>
        </w:rPr>
        <w:t>ata</w:t>
      </w:r>
      <w:bookmarkEnd w:id="17"/>
      <w:bookmarkEnd w:id="18"/>
      <w:bookmarkEnd w:id="19"/>
      <w:r w:rsidRPr="009024C1">
        <w:rPr>
          <w:rFonts w:ascii="Poppins" w:hAnsi="Poppins" w:cs="Poppins"/>
          <w:b/>
          <w:bCs/>
          <w:color w:val="auto"/>
          <w:sz w:val="28"/>
          <w:szCs w:val="28"/>
        </w:rPr>
        <w:t xml:space="preserve"> </w:t>
      </w:r>
      <w:r w:rsidR="00242D8D" w:rsidRPr="009024C1">
        <w:rPr>
          <w:rFonts w:ascii="Poppins" w:hAnsi="Poppins" w:cs="Poppins"/>
          <w:b/>
          <w:bCs/>
          <w:color w:val="auto"/>
          <w:sz w:val="28"/>
          <w:szCs w:val="28"/>
        </w:rPr>
        <w:t xml:space="preserve"> </w:t>
      </w:r>
    </w:p>
    <w:p w14:paraId="4F27A6EE" w14:textId="381DE389" w:rsidR="00FF15C5" w:rsidRPr="00FF15C5" w:rsidRDefault="00FF15C5" w:rsidP="004903FF">
      <w:pPr>
        <w:pStyle w:val="Heading3"/>
        <w:spacing w:after="240"/>
        <w:rPr>
          <w:rFonts w:ascii="Poppins" w:hAnsi="Poppins" w:cs="Poppins"/>
          <w:b/>
          <w:bCs/>
          <w:color w:val="auto"/>
        </w:rPr>
      </w:pPr>
      <w:r w:rsidRPr="00FF15C5">
        <w:rPr>
          <w:rFonts w:ascii="Poppins" w:hAnsi="Poppins" w:cs="Poppins"/>
          <w:b/>
          <w:bCs/>
          <w:color w:val="auto"/>
        </w:rPr>
        <w:t xml:space="preserve">National </w:t>
      </w:r>
    </w:p>
    <w:p w14:paraId="6FEE896C" w14:textId="2837FB02" w:rsidR="008443F3" w:rsidRPr="009024C1" w:rsidRDefault="008F44CF" w:rsidP="004903FF">
      <w:pPr>
        <w:spacing w:after="240"/>
        <w:rPr>
          <w:rFonts w:cs="Poppins"/>
          <w:kern w:val="0"/>
          <w:szCs w:val="24"/>
        </w:rPr>
      </w:pPr>
      <w:r>
        <w:rPr>
          <w:rFonts w:cs="Poppins"/>
          <w:kern w:val="0"/>
          <w:szCs w:val="24"/>
        </w:rPr>
        <w:t>The National Child Monitoring Programme (NCMP)</w:t>
      </w:r>
      <w:r w:rsidR="007B6416">
        <w:rPr>
          <w:rStyle w:val="FootnoteReference"/>
          <w:rFonts w:cs="Poppins"/>
          <w:kern w:val="0"/>
          <w:szCs w:val="24"/>
        </w:rPr>
        <w:footnoteReference w:id="13"/>
      </w:r>
      <w:r>
        <w:rPr>
          <w:rFonts w:cs="Poppins"/>
          <w:kern w:val="0"/>
          <w:szCs w:val="24"/>
        </w:rPr>
        <w:t xml:space="preserve"> collects </w:t>
      </w:r>
      <w:r w:rsidR="008443F3" w:rsidRPr="009024C1">
        <w:rPr>
          <w:rFonts w:cs="Poppins"/>
          <w:kern w:val="0"/>
          <w:szCs w:val="24"/>
        </w:rPr>
        <w:t xml:space="preserve">robust evidence on the trends </w:t>
      </w:r>
      <w:r>
        <w:rPr>
          <w:rFonts w:cs="Poppins"/>
          <w:kern w:val="0"/>
          <w:szCs w:val="24"/>
        </w:rPr>
        <w:t>regarding</w:t>
      </w:r>
      <w:r w:rsidR="008443F3" w:rsidRPr="009024C1">
        <w:rPr>
          <w:rFonts w:cs="Poppins"/>
          <w:kern w:val="0"/>
          <w:szCs w:val="24"/>
        </w:rPr>
        <w:t xml:space="preserve"> the prevalence of obesity for children in Reception </w:t>
      </w:r>
      <w:r w:rsidR="0035773F">
        <w:rPr>
          <w:rFonts w:cs="Poppins"/>
          <w:kern w:val="0"/>
          <w:szCs w:val="24"/>
        </w:rPr>
        <w:t xml:space="preserve">(4-5 years) </w:t>
      </w:r>
      <w:r w:rsidR="008443F3" w:rsidRPr="009024C1">
        <w:rPr>
          <w:rFonts w:cs="Poppins"/>
          <w:kern w:val="0"/>
          <w:szCs w:val="24"/>
        </w:rPr>
        <w:t xml:space="preserve">and </w:t>
      </w:r>
      <w:r w:rsidR="008443F3">
        <w:rPr>
          <w:rFonts w:cs="Poppins"/>
          <w:kern w:val="0"/>
          <w:szCs w:val="24"/>
        </w:rPr>
        <w:t>Y</w:t>
      </w:r>
      <w:r w:rsidR="008443F3" w:rsidRPr="009024C1">
        <w:rPr>
          <w:rFonts w:cs="Poppins"/>
          <w:kern w:val="0"/>
          <w:szCs w:val="24"/>
        </w:rPr>
        <w:t>ear 6</w:t>
      </w:r>
      <w:r w:rsidR="002A013E">
        <w:rPr>
          <w:rFonts w:cs="Poppins"/>
          <w:kern w:val="0"/>
          <w:szCs w:val="24"/>
        </w:rPr>
        <w:t xml:space="preserve"> </w:t>
      </w:r>
      <w:r w:rsidR="0035773F">
        <w:rPr>
          <w:rFonts w:cs="Poppins"/>
          <w:kern w:val="0"/>
          <w:szCs w:val="24"/>
        </w:rPr>
        <w:t xml:space="preserve">(10-11 years) </w:t>
      </w:r>
      <w:r w:rsidR="002A013E">
        <w:rPr>
          <w:rFonts w:cs="Poppins"/>
          <w:kern w:val="0"/>
          <w:szCs w:val="24"/>
        </w:rPr>
        <w:t>in England</w:t>
      </w:r>
      <w:r>
        <w:rPr>
          <w:rFonts w:cs="Poppins"/>
          <w:kern w:val="0"/>
          <w:szCs w:val="24"/>
        </w:rPr>
        <w:t>.</w:t>
      </w:r>
      <w:r w:rsidR="008443F3" w:rsidRPr="009024C1">
        <w:rPr>
          <w:rFonts w:cs="Poppins"/>
          <w:kern w:val="0"/>
          <w:szCs w:val="24"/>
        </w:rPr>
        <w:t xml:space="preserve"> </w:t>
      </w:r>
      <w:r>
        <w:rPr>
          <w:rFonts w:cs="Poppins"/>
          <w:kern w:val="0"/>
          <w:szCs w:val="24"/>
        </w:rPr>
        <w:t xml:space="preserve"> </w:t>
      </w:r>
      <w:r w:rsidRPr="002A013E">
        <w:rPr>
          <w:rFonts w:cs="Poppins"/>
          <w:kern w:val="0"/>
          <w:szCs w:val="24"/>
        </w:rPr>
        <w:t>O</w:t>
      </w:r>
      <w:r w:rsidR="008443F3" w:rsidRPr="002A013E">
        <w:rPr>
          <w:rFonts w:cs="Poppins"/>
          <w:kern w:val="0"/>
          <w:szCs w:val="24"/>
        </w:rPr>
        <w:t>ver the 202</w:t>
      </w:r>
      <w:r w:rsidR="002A013E" w:rsidRPr="002A013E">
        <w:rPr>
          <w:rFonts w:cs="Poppins"/>
          <w:kern w:val="0"/>
          <w:szCs w:val="24"/>
        </w:rPr>
        <w:t>2</w:t>
      </w:r>
      <w:r w:rsidR="008443F3" w:rsidRPr="002A013E">
        <w:rPr>
          <w:rFonts w:cs="Poppins"/>
          <w:kern w:val="0"/>
          <w:szCs w:val="24"/>
        </w:rPr>
        <w:t>/2</w:t>
      </w:r>
      <w:r w:rsidR="002A013E" w:rsidRPr="002A013E">
        <w:rPr>
          <w:rFonts w:cs="Poppins"/>
          <w:kern w:val="0"/>
          <w:szCs w:val="24"/>
        </w:rPr>
        <w:t>3</w:t>
      </w:r>
      <w:r w:rsidR="008443F3" w:rsidRPr="002A013E">
        <w:rPr>
          <w:rFonts w:cs="Poppins"/>
          <w:kern w:val="0"/>
          <w:szCs w:val="24"/>
        </w:rPr>
        <w:t xml:space="preserve"> and 202</w:t>
      </w:r>
      <w:r w:rsidR="002A013E" w:rsidRPr="002A013E">
        <w:rPr>
          <w:rFonts w:cs="Poppins"/>
          <w:kern w:val="0"/>
          <w:szCs w:val="24"/>
        </w:rPr>
        <w:t>3</w:t>
      </w:r>
      <w:r w:rsidR="008443F3" w:rsidRPr="002A013E">
        <w:rPr>
          <w:rFonts w:cs="Poppins"/>
          <w:kern w:val="0"/>
          <w:szCs w:val="24"/>
        </w:rPr>
        <w:t>/2</w:t>
      </w:r>
      <w:r w:rsidR="002A013E" w:rsidRPr="002A013E">
        <w:rPr>
          <w:rFonts w:cs="Poppins"/>
          <w:kern w:val="0"/>
          <w:szCs w:val="24"/>
        </w:rPr>
        <w:t>4</w:t>
      </w:r>
      <w:r w:rsidR="008443F3" w:rsidRPr="002A013E">
        <w:rPr>
          <w:rFonts w:cs="Poppins"/>
          <w:kern w:val="0"/>
          <w:szCs w:val="24"/>
        </w:rPr>
        <w:t xml:space="preserve"> period covered by the N</w:t>
      </w:r>
      <w:r w:rsidRPr="002A013E">
        <w:rPr>
          <w:rFonts w:cs="Poppins"/>
          <w:kern w:val="0"/>
          <w:szCs w:val="24"/>
        </w:rPr>
        <w:t>CMP</w:t>
      </w:r>
      <w:r w:rsidR="008443F3" w:rsidRPr="002A013E">
        <w:rPr>
          <w:rFonts w:cs="Poppins"/>
          <w:kern w:val="0"/>
          <w:szCs w:val="24"/>
        </w:rPr>
        <w:t xml:space="preserve">, the prevalence of obesity in Reception children </w:t>
      </w:r>
      <w:r w:rsidR="002A013E" w:rsidRPr="002A013E">
        <w:rPr>
          <w:rFonts w:cs="Poppins"/>
          <w:kern w:val="0"/>
          <w:szCs w:val="24"/>
        </w:rPr>
        <w:t>increased</w:t>
      </w:r>
      <w:r w:rsidR="008443F3" w:rsidRPr="002A013E">
        <w:rPr>
          <w:rFonts w:cs="Poppins"/>
          <w:kern w:val="0"/>
          <w:szCs w:val="24"/>
        </w:rPr>
        <w:t xml:space="preserve"> from </w:t>
      </w:r>
      <w:r w:rsidR="002A013E" w:rsidRPr="002A013E">
        <w:rPr>
          <w:rFonts w:cs="Poppins"/>
          <w:kern w:val="0"/>
          <w:szCs w:val="24"/>
        </w:rPr>
        <w:t>9.2</w:t>
      </w:r>
      <w:r w:rsidR="008443F3" w:rsidRPr="002A013E">
        <w:rPr>
          <w:rFonts w:cs="Poppins"/>
          <w:kern w:val="0"/>
          <w:szCs w:val="24"/>
        </w:rPr>
        <w:t>% in 2021/22 to 9.</w:t>
      </w:r>
      <w:r w:rsidR="002A013E" w:rsidRPr="002A013E">
        <w:rPr>
          <w:rFonts w:cs="Poppins"/>
          <w:kern w:val="0"/>
          <w:szCs w:val="24"/>
        </w:rPr>
        <w:t>6</w:t>
      </w:r>
      <w:r w:rsidR="008443F3" w:rsidRPr="002A013E">
        <w:rPr>
          <w:rFonts w:cs="Poppins"/>
          <w:kern w:val="0"/>
          <w:szCs w:val="24"/>
        </w:rPr>
        <w:t>% in 2022/23. For</w:t>
      </w:r>
      <w:r w:rsidR="008443F3" w:rsidRPr="009024C1">
        <w:rPr>
          <w:rFonts w:cs="Poppins"/>
          <w:kern w:val="0"/>
          <w:szCs w:val="24"/>
        </w:rPr>
        <w:t xml:space="preserve"> Year 6 children, the prevalence of obesity decreased from </w:t>
      </w:r>
      <w:r w:rsidR="006575C2">
        <w:rPr>
          <w:rFonts w:cs="Poppins"/>
          <w:kern w:val="0"/>
          <w:szCs w:val="24"/>
        </w:rPr>
        <w:t>22</w:t>
      </w:r>
      <w:r w:rsidR="008443F3" w:rsidRPr="009024C1">
        <w:rPr>
          <w:rFonts w:cs="Poppins"/>
          <w:kern w:val="0"/>
          <w:szCs w:val="24"/>
        </w:rPr>
        <w:t>.</w:t>
      </w:r>
      <w:r w:rsidR="006575C2">
        <w:rPr>
          <w:rFonts w:cs="Poppins"/>
          <w:kern w:val="0"/>
          <w:szCs w:val="24"/>
        </w:rPr>
        <w:t>7</w:t>
      </w:r>
      <w:r w:rsidR="008443F3" w:rsidRPr="009024C1">
        <w:rPr>
          <w:rFonts w:cs="Poppins"/>
          <w:kern w:val="0"/>
          <w:szCs w:val="24"/>
        </w:rPr>
        <w:t>% in 20</w:t>
      </w:r>
      <w:r w:rsidR="006575C2">
        <w:rPr>
          <w:rFonts w:cs="Poppins"/>
          <w:kern w:val="0"/>
          <w:szCs w:val="24"/>
        </w:rPr>
        <w:t>22</w:t>
      </w:r>
      <w:r w:rsidR="008443F3" w:rsidRPr="009024C1">
        <w:rPr>
          <w:rFonts w:cs="Poppins"/>
          <w:kern w:val="0"/>
          <w:szCs w:val="24"/>
        </w:rPr>
        <w:t>/2</w:t>
      </w:r>
      <w:r w:rsidR="006575C2">
        <w:rPr>
          <w:rFonts w:cs="Poppins"/>
          <w:kern w:val="0"/>
          <w:szCs w:val="24"/>
        </w:rPr>
        <w:t>3</w:t>
      </w:r>
      <w:r w:rsidR="008443F3" w:rsidRPr="009024C1">
        <w:rPr>
          <w:rFonts w:cs="Poppins"/>
          <w:kern w:val="0"/>
          <w:szCs w:val="24"/>
        </w:rPr>
        <w:t xml:space="preserve"> to 22.</w:t>
      </w:r>
      <w:r w:rsidR="006575C2">
        <w:rPr>
          <w:rFonts w:cs="Poppins"/>
          <w:kern w:val="0"/>
          <w:szCs w:val="24"/>
        </w:rPr>
        <w:t>1</w:t>
      </w:r>
      <w:r w:rsidR="008443F3" w:rsidRPr="009024C1">
        <w:rPr>
          <w:rFonts w:cs="Poppins"/>
          <w:kern w:val="0"/>
          <w:szCs w:val="24"/>
        </w:rPr>
        <w:t>% in 202</w:t>
      </w:r>
      <w:r w:rsidR="006575C2">
        <w:rPr>
          <w:rFonts w:cs="Poppins"/>
          <w:kern w:val="0"/>
          <w:szCs w:val="24"/>
        </w:rPr>
        <w:t>3</w:t>
      </w:r>
      <w:r w:rsidR="008443F3" w:rsidRPr="009024C1">
        <w:rPr>
          <w:rFonts w:cs="Poppins"/>
          <w:kern w:val="0"/>
          <w:szCs w:val="24"/>
        </w:rPr>
        <w:t>/</w:t>
      </w:r>
      <w:r w:rsidR="006575C2">
        <w:rPr>
          <w:rFonts w:cs="Poppins"/>
          <w:kern w:val="0"/>
          <w:szCs w:val="24"/>
        </w:rPr>
        <w:t>24</w:t>
      </w:r>
      <w:r w:rsidR="008443F3" w:rsidRPr="009024C1">
        <w:rPr>
          <w:rFonts w:cs="Poppins"/>
          <w:kern w:val="0"/>
          <w:szCs w:val="24"/>
        </w:rPr>
        <w:t>, however this remains higher than levels recorded in 2018/19 and 2019/20. Obesity prevalence in boys is higher than girls in both Reception and Year 6. For boys in Reception, obesity prevalence was 9.3%, in comparison to 9% of girls. In Year 6, obesity prevalence in boys was 25.1%, whilst obesity prevalence in girls was 20.1%.</w:t>
      </w:r>
    </w:p>
    <w:p w14:paraId="7A7A0889" w14:textId="77777777" w:rsidR="008443F3" w:rsidRPr="009024C1" w:rsidRDefault="008443F3" w:rsidP="004903FF">
      <w:pPr>
        <w:spacing w:after="240"/>
        <w:rPr>
          <w:rFonts w:cs="Poppins"/>
          <w:kern w:val="0"/>
          <w:szCs w:val="24"/>
        </w:rPr>
      </w:pPr>
      <w:r w:rsidRPr="009024C1">
        <w:rPr>
          <w:rFonts w:cs="Poppins"/>
          <w:kern w:val="0"/>
          <w:szCs w:val="24"/>
        </w:rPr>
        <w:t xml:space="preserve">National evidence demonstrates a close relationship between levels of deprivation </w:t>
      </w:r>
      <w:r>
        <w:rPr>
          <w:rFonts w:cs="Poppins"/>
          <w:kern w:val="0"/>
          <w:szCs w:val="24"/>
        </w:rPr>
        <w:t>and childhood obesity</w:t>
      </w:r>
      <w:r w:rsidRPr="009024C1">
        <w:rPr>
          <w:rFonts w:cs="Poppins"/>
          <w:kern w:val="0"/>
          <w:szCs w:val="24"/>
        </w:rPr>
        <w:t xml:space="preserve">. For children living in the most deprived areas of the country, obesity prevalence was over twice as high in comparison to children living in the least deprived areas. For Reception children living in the most deprived areas, prevalence of obesity was 12.4%, compared with 5.8% of children living in the least deprived areas. For Year 6 children, the prevalence of obesity was 30.2% in the most deprived areas, whilst the prevalence of obesity was 13.1% in the least deprived areas.  </w:t>
      </w:r>
    </w:p>
    <w:p w14:paraId="00E66118" w14:textId="5FB1E234" w:rsidR="008443F3" w:rsidRPr="0035773F" w:rsidRDefault="008443F3" w:rsidP="004903FF">
      <w:pPr>
        <w:pStyle w:val="Heading3"/>
        <w:spacing w:after="240"/>
        <w:rPr>
          <w:rFonts w:cs="Poppins"/>
          <w:b/>
          <w:bCs/>
          <w:color w:val="000000" w:themeColor="text1"/>
        </w:rPr>
      </w:pPr>
      <w:r w:rsidRPr="0035773F">
        <w:rPr>
          <w:rFonts w:ascii="Poppins" w:hAnsi="Poppins" w:cs="Poppins"/>
          <w:b/>
          <w:bCs/>
          <w:color w:val="000000" w:themeColor="text1"/>
        </w:rPr>
        <w:t>North Tyneside</w:t>
      </w:r>
    </w:p>
    <w:p w14:paraId="1A0C5A10" w14:textId="47524557" w:rsidR="00CD3B4C" w:rsidRDefault="00CD3B4C" w:rsidP="004903FF">
      <w:pPr>
        <w:spacing w:after="240"/>
        <w:rPr>
          <w:rFonts w:cs="Poppins"/>
          <w:kern w:val="0"/>
          <w:szCs w:val="24"/>
        </w:rPr>
      </w:pPr>
      <w:r w:rsidRPr="009024C1">
        <w:rPr>
          <w:szCs w:val="24"/>
        </w:rPr>
        <w:t>A report on the most recent NCMP data (2023/2024)</w:t>
      </w:r>
      <w:r w:rsidR="00581735" w:rsidRPr="009024C1">
        <w:rPr>
          <w:rStyle w:val="FootnoteReference"/>
          <w:szCs w:val="24"/>
        </w:rPr>
        <w:footnoteReference w:id="14"/>
      </w:r>
      <w:r w:rsidR="00D72144" w:rsidRPr="009024C1">
        <w:rPr>
          <w:szCs w:val="24"/>
        </w:rPr>
        <w:t xml:space="preserve"> </w:t>
      </w:r>
      <w:r w:rsidR="001D2244">
        <w:rPr>
          <w:szCs w:val="24"/>
        </w:rPr>
        <w:t xml:space="preserve">identifies that an average of </w:t>
      </w:r>
      <w:r w:rsidR="00437019">
        <w:rPr>
          <w:rFonts w:cs="Poppins"/>
          <w:kern w:val="0"/>
          <w:szCs w:val="24"/>
        </w:rPr>
        <w:t>8.7</w:t>
      </w:r>
      <w:r w:rsidR="00437019" w:rsidRPr="009024C1">
        <w:rPr>
          <w:rFonts w:cs="Poppins"/>
          <w:kern w:val="0"/>
          <w:szCs w:val="24"/>
        </w:rPr>
        <w:t xml:space="preserve">% of Reception children </w:t>
      </w:r>
      <w:r w:rsidR="00437019">
        <w:rPr>
          <w:rFonts w:cs="Poppins"/>
          <w:kern w:val="0"/>
          <w:szCs w:val="24"/>
        </w:rPr>
        <w:t xml:space="preserve">in North Tyneside </w:t>
      </w:r>
      <w:r w:rsidR="00437019" w:rsidRPr="009024C1">
        <w:rPr>
          <w:rFonts w:cs="Poppins"/>
          <w:kern w:val="0"/>
          <w:szCs w:val="24"/>
        </w:rPr>
        <w:t>are</w:t>
      </w:r>
      <w:r w:rsidR="00437019">
        <w:rPr>
          <w:rFonts w:cs="Poppins"/>
          <w:kern w:val="0"/>
          <w:szCs w:val="24"/>
        </w:rPr>
        <w:t xml:space="preserve"> obese</w:t>
      </w:r>
      <w:r w:rsidR="00437019" w:rsidRPr="009024C1">
        <w:rPr>
          <w:rFonts w:cs="Poppins"/>
          <w:kern w:val="0"/>
          <w:szCs w:val="24"/>
        </w:rPr>
        <w:t xml:space="preserve">, which is </w:t>
      </w:r>
      <w:r w:rsidR="00437019">
        <w:rPr>
          <w:rFonts w:cs="Poppins"/>
          <w:kern w:val="0"/>
          <w:szCs w:val="24"/>
        </w:rPr>
        <w:t>lower</w:t>
      </w:r>
      <w:r w:rsidR="00437019" w:rsidRPr="009024C1">
        <w:rPr>
          <w:rFonts w:cs="Poppins"/>
          <w:kern w:val="0"/>
          <w:szCs w:val="24"/>
        </w:rPr>
        <w:t xml:space="preserve"> than the England </w:t>
      </w:r>
      <w:r w:rsidR="00437019">
        <w:rPr>
          <w:rFonts w:cs="Poppins"/>
          <w:kern w:val="0"/>
          <w:szCs w:val="24"/>
        </w:rPr>
        <w:t>average</w:t>
      </w:r>
      <w:r w:rsidR="00437019" w:rsidRPr="009024C1">
        <w:rPr>
          <w:rFonts w:cs="Poppins"/>
          <w:kern w:val="0"/>
          <w:szCs w:val="24"/>
        </w:rPr>
        <w:t xml:space="preserve"> of</w:t>
      </w:r>
      <w:r w:rsidR="00437019">
        <w:rPr>
          <w:rFonts w:cs="Poppins"/>
          <w:kern w:val="0"/>
          <w:szCs w:val="24"/>
        </w:rPr>
        <w:t xml:space="preserve"> 9.6</w:t>
      </w:r>
      <w:r w:rsidR="00437019" w:rsidRPr="009024C1">
        <w:rPr>
          <w:rFonts w:cs="Poppins"/>
          <w:kern w:val="0"/>
          <w:szCs w:val="24"/>
        </w:rPr>
        <w:t>%.</w:t>
      </w:r>
      <w:r w:rsidR="00437019">
        <w:rPr>
          <w:rFonts w:cs="Poppins"/>
          <w:kern w:val="0"/>
          <w:szCs w:val="24"/>
        </w:rPr>
        <w:t xml:space="preserve"> For Year 6 children, an average of 22.3% are obese, </w:t>
      </w:r>
      <w:r w:rsidR="00437019">
        <w:rPr>
          <w:szCs w:val="24"/>
        </w:rPr>
        <w:t>which</w:t>
      </w:r>
      <w:r w:rsidR="00776037">
        <w:rPr>
          <w:szCs w:val="24"/>
        </w:rPr>
        <w:t xml:space="preserve"> is marginally higher than the England average of 22.1%. The most recent data indicates </w:t>
      </w:r>
      <w:r w:rsidR="00D72144" w:rsidRPr="009024C1">
        <w:rPr>
          <w:rFonts w:cs="Poppins"/>
          <w:kern w:val="0"/>
          <w:szCs w:val="24"/>
        </w:rPr>
        <w:t xml:space="preserve">that </w:t>
      </w:r>
      <w:r w:rsidR="00D4517D">
        <w:rPr>
          <w:rFonts w:cs="Poppins"/>
          <w:kern w:val="0"/>
          <w:szCs w:val="24"/>
        </w:rPr>
        <w:t xml:space="preserve">the levels of obesity in </w:t>
      </w:r>
      <w:r w:rsidR="005232FB">
        <w:rPr>
          <w:rFonts w:cs="Poppins"/>
          <w:kern w:val="0"/>
          <w:szCs w:val="24"/>
        </w:rPr>
        <w:t>Y</w:t>
      </w:r>
      <w:r w:rsidR="00D4517D">
        <w:rPr>
          <w:rFonts w:cs="Poppins"/>
          <w:kern w:val="0"/>
          <w:szCs w:val="24"/>
        </w:rPr>
        <w:t xml:space="preserve">ear 6 </w:t>
      </w:r>
      <w:r w:rsidR="00D4517D">
        <w:rPr>
          <w:rFonts w:cs="Poppins"/>
          <w:kern w:val="0"/>
          <w:szCs w:val="24"/>
        </w:rPr>
        <w:lastRenderedPageBreak/>
        <w:t>children is recovering back to lower levels recorded in previous years following a spike over the 2020/21 period.</w:t>
      </w:r>
    </w:p>
    <w:p w14:paraId="62F3A6A8" w14:textId="77777777" w:rsidR="00140886" w:rsidRDefault="00140886" w:rsidP="00140886">
      <w:pPr>
        <w:spacing w:after="240"/>
        <w:rPr>
          <w:b/>
          <w:bCs/>
          <w:szCs w:val="24"/>
        </w:rPr>
      </w:pPr>
      <w:r>
        <w:rPr>
          <w:noProof/>
        </w:rPr>
        <w:drawing>
          <wp:anchor distT="0" distB="0" distL="114300" distR="114300" simplePos="0" relativeHeight="251766784" behindDoc="0" locked="0" layoutInCell="1" allowOverlap="1" wp14:anchorId="384D698D" wp14:editId="0FE1E5F9">
            <wp:simplePos x="0" y="0"/>
            <wp:positionH relativeFrom="margin">
              <wp:posOffset>-50800</wp:posOffset>
            </wp:positionH>
            <wp:positionV relativeFrom="paragraph">
              <wp:posOffset>293370</wp:posOffset>
            </wp:positionV>
            <wp:extent cx="4914900" cy="3048000"/>
            <wp:effectExtent l="0" t="0" r="0" b="0"/>
            <wp:wrapTopAndBottom/>
            <wp:docPr id="332165936" name="Chart 1">
              <a:extLst xmlns:a="http://schemas.openxmlformats.org/drawingml/2006/main">
                <a:ext uri="{FF2B5EF4-FFF2-40B4-BE49-F238E27FC236}">
                  <a16:creationId xmlns:a16="http://schemas.microsoft.com/office/drawing/2014/main" id="{762CF056-A663-0231-F9C9-ABC92BE3F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b/>
          <w:bCs/>
          <w:szCs w:val="24"/>
        </w:rPr>
        <w:t xml:space="preserve">Figure 4: </w:t>
      </w:r>
      <w:r w:rsidRPr="004769BA">
        <w:rPr>
          <w:b/>
          <w:bCs/>
          <w:szCs w:val="24"/>
        </w:rPr>
        <w:t xml:space="preserve">Trend of Childhood Obesity in </w:t>
      </w:r>
      <w:r>
        <w:rPr>
          <w:b/>
          <w:bCs/>
          <w:szCs w:val="24"/>
        </w:rPr>
        <w:t xml:space="preserve">England and </w:t>
      </w:r>
      <w:r w:rsidRPr="004769BA">
        <w:rPr>
          <w:b/>
          <w:bCs/>
          <w:szCs w:val="24"/>
        </w:rPr>
        <w:t>North Tyneside</w:t>
      </w:r>
      <w:r>
        <w:rPr>
          <w:b/>
          <w:bCs/>
          <w:szCs w:val="24"/>
        </w:rPr>
        <w:t>:</w:t>
      </w:r>
    </w:p>
    <w:p w14:paraId="74171D08" w14:textId="253741BE" w:rsidR="00F74305" w:rsidRPr="00573D72" w:rsidRDefault="00F74305" w:rsidP="00F74305">
      <w:pPr>
        <w:ind w:left="2552"/>
        <w:jc w:val="right"/>
        <w:rPr>
          <w:sz w:val="20"/>
          <w:szCs w:val="20"/>
        </w:rPr>
      </w:pPr>
      <w:r w:rsidRPr="00573D72">
        <w:rPr>
          <w:sz w:val="20"/>
          <w:szCs w:val="20"/>
        </w:rPr>
        <w:t xml:space="preserve">Source: National Child Measurement Programme. </w:t>
      </w:r>
      <w:r>
        <w:rPr>
          <w:b/>
          <w:bCs/>
          <w:sz w:val="20"/>
          <w:szCs w:val="20"/>
        </w:rPr>
        <w:t>(</w:t>
      </w:r>
      <w:r w:rsidRPr="00C82957">
        <w:rPr>
          <w:b/>
          <w:bCs/>
          <w:sz w:val="20"/>
          <w:szCs w:val="20"/>
        </w:rPr>
        <w:t>Note:</w:t>
      </w:r>
      <w:r w:rsidRPr="00573D72">
        <w:rPr>
          <w:sz w:val="20"/>
          <w:szCs w:val="20"/>
        </w:rPr>
        <w:t xml:space="preserve"> Data was not recorded </w:t>
      </w:r>
      <w:r>
        <w:rPr>
          <w:sz w:val="20"/>
          <w:szCs w:val="20"/>
        </w:rPr>
        <w:t>during</w:t>
      </w:r>
      <w:r w:rsidRPr="00573D72">
        <w:rPr>
          <w:sz w:val="20"/>
          <w:szCs w:val="20"/>
        </w:rPr>
        <w:t xml:space="preserve"> the 2020/2021 period.</w:t>
      </w:r>
      <w:r>
        <w:rPr>
          <w:sz w:val="20"/>
          <w:szCs w:val="20"/>
        </w:rPr>
        <w:t>)</w:t>
      </w:r>
    </w:p>
    <w:p w14:paraId="57876383" w14:textId="31A71B06" w:rsidR="005D1CA9" w:rsidRPr="005D1CA9" w:rsidRDefault="00140886" w:rsidP="004903FF">
      <w:pPr>
        <w:autoSpaceDE w:val="0"/>
        <w:autoSpaceDN w:val="0"/>
        <w:adjustRightInd w:val="0"/>
        <w:spacing w:after="240"/>
        <w:rPr>
          <w:rFonts w:cs="Poppins"/>
          <w:kern w:val="0"/>
          <w:szCs w:val="24"/>
        </w:rPr>
      </w:pPr>
      <w:r>
        <w:rPr>
          <w:rFonts w:cs="Poppins"/>
          <w:kern w:val="0"/>
          <w:szCs w:val="24"/>
        </w:rPr>
        <w:t>T</w:t>
      </w:r>
      <w:r w:rsidR="005D1CA9">
        <w:rPr>
          <w:rFonts w:cs="Poppins"/>
          <w:kern w:val="0"/>
          <w:szCs w:val="24"/>
        </w:rPr>
        <w:t>he data</w:t>
      </w:r>
      <w:r w:rsidR="00F74305">
        <w:rPr>
          <w:rFonts w:cs="Poppins"/>
          <w:kern w:val="0"/>
          <w:szCs w:val="24"/>
        </w:rPr>
        <w:t xml:space="preserve"> set out in Figures 5 and 6 below,</w:t>
      </w:r>
      <w:r w:rsidR="005D1CA9">
        <w:rPr>
          <w:rFonts w:cs="Poppins"/>
          <w:kern w:val="0"/>
          <w:szCs w:val="24"/>
        </w:rPr>
        <w:t xml:space="preserve"> identifies a significant increase in the levels of obesity from</w:t>
      </w:r>
      <w:r w:rsidR="00DF5D01">
        <w:rPr>
          <w:rFonts w:cs="Poppins"/>
          <w:kern w:val="0"/>
          <w:szCs w:val="24"/>
        </w:rPr>
        <w:t xml:space="preserve"> children in </w:t>
      </w:r>
      <w:r w:rsidR="005D1CA9">
        <w:rPr>
          <w:rFonts w:cs="Poppins"/>
          <w:kern w:val="0"/>
          <w:szCs w:val="24"/>
        </w:rPr>
        <w:t>Reception to</w:t>
      </w:r>
      <w:r w:rsidR="00DF5D01">
        <w:rPr>
          <w:rFonts w:cs="Poppins"/>
          <w:kern w:val="0"/>
          <w:szCs w:val="24"/>
        </w:rPr>
        <w:t xml:space="preserve"> children in</w:t>
      </w:r>
      <w:r w:rsidR="005D1CA9">
        <w:rPr>
          <w:rFonts w:cs="Poppins"/>
          <w:kern w:val="0"/>
          <w:szCs w:val="24"/>
        </w:rPr>
        <w:t xml:space="preserve"> Year 6. In Reception, the ward with the highest level of obesity was Chirton</w:t>
      </w:r>
      <w:r w:rsidR="005232FB">
        <w:rPr>
          <w:rFonts w:cs="Poppins"/>
          <w:kern w:val="0"/>
          <w:szCs w:val="24"/>
        </w:rPr>
        <w:t xml:space="preserve"> and</w:t>
      </w:r>
      <w:r w:rsidR="005D1CA9">
        <w:rPr>
          <w:rFonts w:cs="Poppins"/>
          <w:kern w:val="0"/>
          <w:szCs w:val="24"/>
        </w:rPr>
        <w:t xml:space="preserve"> Percy Main with 16%, whilst St Mary’s had the lowest level of 4.%. </w:t>
      </w:r>
      <w:r w:rsidR="005232FB">
        <w:rPr>
          <w:rFonts w:cs="Poppins"/>
          <w:kern w:val="0"/>
          <w:szCs w:val="24"/>
        </w:rPr>
        <w:t>Whereas</w:t>
      </w:r>
      <w:r w:rsidR="00150FD0">
        <w:rPr>
          <w:rFonts w:cs="Poppins"/>
          <w:kern w:val="0"/>
          <w:szCs w:val="24"/>
        </w:rPr>
        <w:t xml:space="preserve"> for levels of obesity in Year 6</w:t>
      </w:r>
      <w:r w:rsidR="00544468">
        <w:rPr>
          <w:rFonts w:cs="Poppins"/>
          <w:kern w:val="0"/>
          <w:szCs w:val="24"/>
        </w:rPr>
        <w:t xml:space="preserve"> children</w:t>
      </w:r>
      <w:r w:rsidR="00150FD0">
        <w:rPr>
          <w:rFonts w:cs="Poppins"/>
          <w:kern w:val="0"/>
          <w:szCs w:val="24"/>
        </w:rPr>
        <w:t xml:space="preserve">, the ward with the highest level of obesity was Howdon with 34.2%, whereas Whitley Bay North had the lowest level of 11.3%. </w:t>
      </w:r>
    </w:p>
    <w:p w14:paraId="39C097D6" w14:textId="48D4FA44" w:rsidR="00316461" w:rsidRDefault="008443F3" w:rsidP="00316461">
      <w:pPr>
        <w:spacing w:after="240"/>
        <w:rPr>
          <w:rFonts w:cs="Poppins"/>
          <w:kern w:val="0"/>
          <w:szCs w:val="24"/>
        </w:rPr>
      </w:pPr>
      <w:r w:rsidRPr="009024C1">
        <w:rPr>
          <w:rFonts w:cs="Poppins"/>
          <w:kern w:val="0"/>
          <w:szCs w:val="24"/>
        </w:rPr>
        <w:t>In North Tyneside, there is a relationship between levels of deprivation and excess weight in children as 47.2% of Year 6 children in the 10% most deprived areas had excess weight</w:t>
      </w:r>
      <w:r w:rsidR="00325430">
        <w:rPr>
          <w:rFonts w:cs="Poppins"/>
          <w:kern w:val="0"/>
          <w:szCs w:val="24"/>
        </w:rPr>
        <w:t xml:space="preserve"> </w:t>
      </w:r>
      <w:r w:rsidRPr="009024C1">
        <w:rPr>
          <w:rFonts w:cs="Poppins"/>
          <w:kern w:val="0"/>
          <w:szCs w:val="24"/>
        </w:rPr>
        <w:t xml:space="preserve">in 2023/2024. This is compared with 23.2% of Year 6 children in the 10% least deprived areas </w:t>
      </w:r>
      <w:r>
        <w:rPr>
          <w:rFonts w:cs="Poppins"/>
          <w:kern w:val="0"/>
          <w:szCs w:val="24"/>
        </w:rPr>
        <w:t xml:space="preserve">that </w:t>
      </w:r>
      <w:r w:rsidRPr="009024C1">
        <w:rPr>
          <w:rFonts w:cs="Poppins"/>
          <w:kern w:val="0"/>
          <w:szCs w:val="24"/>
        </w:rPr>
        <w:t>had excess weight in 2023/2024. As for levels of childhood obesity in relation to deprivation, 33.18% of Year 6 children in the 10% most deprived areas were obese, in comparison to 10.94% of Year 6 children in the least deprived area</w:t>
      </w:r>
      <w:r>
        <w:rPr>
          <w:rFonts w:cs="Poppins"/>
          <w:kern w:val="0"/>
          <w:szCs w:val="24"/>
        </w:rPr>
        <w:t>s</w:t>
      </w:r>
      <w:r w:rsidRPr="009024C1">
        <w:rPr>
          <w:rFonts w:cs="Poppins"/>
          <w:kern w:val="0"/>
          <w:szCs w:val="24"/>
        </w:rPr>
        <w:t>.</w:t>
      </w:r>
      <w:r w:rsidR="00BC141A">
        <w:rPr>
          <w:rFonts w:cs="Poppins"/>
          <w:kern w:val="0"/>
          <w:szCs w:val="24"/>
        </w:rPr>
        <w:t xml:space="preserve"> </w:t>
      </w:r>
    </w:p>
    <w:p w14:paraId="2534C127" w14:textId="76533530" w:rsidR="00F532DC" w:rsidRDefault="00F532DC" w:rsidP="00F532DC">
      <w:pPr>
        <w:spacing w:after="240"/>
        <w:rPr>
          <w:b/>
          <w:bCs/>
          <w:szCs w:val="24"/>
        </w:rPr>
      </w:pPr>
      <w:r w:rsidRPr="009B4339">
        <w:rPr>
          <w:b/>
          <w:bCs/>
          <w:noProof/>
          <w:szCs w:val="24"/>
        </w:rPr>
        <w:lastRenderedPageBreak/>
        <w:drawing>
          <wp:anchor distT="0" distB="0" distL="114300" distR="114300" simplePos="0" relativeHeight="251705344" behindDoc="0" locked="0" layoutInCell="1" allowOverlap="1" wp14:anchorId="25DF5C4E" wp14:editId="5D1615AF">
            <wp:simplePos x="0" y="0"/>
            <wp:positionH relativeFrom="margin">
              <wp:align>left</wp:align>
            </wp:positionH>
            <wp:positionV relativeFrom="paragraph">
              <wp:posOffset>330200</wp:posOffset>
            </wp:positionV>
            <wp:extent cx="4932680" cy="3441700"/>
            <wp:effectExtent l="0" t="0" r="1270" b="6350"/>
            <wp:wrapTopAndBottom/>
            <wp:docPr id="1175373071" name="Chart 1">
              <a:extLst xmlns:a="http://schemas.openxmlformats.org/drawingml/2006/main">
                <a:ext uri="{FF2B5EF4-FFF2-40B4-BE49-F238E27FC236}">
                  <a16:creationId xmlns:a16="http://schemas.microsoft.com/office/drawing/2014/main" id="{E7CF0DB1-355C-11AB-D73E-C8452E823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b/>
          <w:bCs/>
          <w:szCs w:val="24"/>
        </w:rPr>
        <w:t xml:space="preserve">Figure 5: </w:t>
      </w:r>
      <w:r w:rsidRPr="009B4339">
        <w:rPr>
          <w:b/>
          <w:bCs/>
          <w:szCs w:val="24"/>
        </w:rPr>
        <w:t xml:space="preserve">Prevalence in Reception </w:t>
      </w:r>
      <w:r>
        <w:rPr>
          <w:b/>
          <w:bCs/>
          <w:szCs w:val="24"/>
        </w:rPr>
        <w:t>C</w:t>
      </w:r>
      <w:r w:rsidRPr="009B4339">
        <w:rPr>
          <w:b/>
          <w:bCs/>
          <w:szCs w:val="24"/>
        </w:rPr>
        <w:t>hildren per Ward:</w:t>
      </w:r>
    </w:p>
    <w:p w14:paraId="2F415C9C" w14:textId="77777777" w:rsidR="006C66F9" w:rsidRDefault="006C66F9" w:rsidP="00F532DC">
      <w:pPr>
        <w:spacing w:after="240"/>
        <w:rPr>
          <w:b/>
          <w:bCs/>
          <w:szCs w:val="24"/>
        </w:rPr>
      </w:pPr>
    </w:p>
    <w:p w14:paraId="58B1CB4F" w14:textId="3EB24233" w:rsidR="00F532DC" w:rsidRPr="009B4339" w:rsidRDefault="006C66F9" w:rsidP="00F532DC">
      <w:pPr>
        <w:spacing w:after="240"/>
        <w:rPr>
          <w:b/>
          <w:bCs/>
          <w:szCs w:val="24"/>
        </w:rPr>
      </w:pPr>
      <w:r w:rsidRPr="000928B4">
        <w:rPr>
          <w:noProof/>
          <w:szCs w:val="24"/>
        </w:rPr>
        <mc:AlternateContent>
          <mc:Choice Requires="wps">
            <w:drawing>
              <wp:anchor distT="45720" distB="45720" distL="114300" distR="114300" simplePos="0" relativeHeight="251717632" behindDoc="0" locked="0" layoutInCell="1" allowOverlap="1" wp14:anchorId="79BC26C6" wp14:editId="57A26140">
                <wp:simplePos x="0" y="0"/>
                <wp:positionH relativeFrom="margin">
                  <wp:align>left</wp:align>
                </wp:positionH>
                <wp:positionV relativeFrom="paragraph">
                  <wp:posOffset>3693160</wp:posOffset>
                </wp:positionV>
                <wp:extent cx="3392170" cy="368300"/>
                <wp:effectExtent l="0" t="0" r="0" b="0"/>
                <wp:wrapSquare wrapText="bothSides"/>
                <wp:docPr id="132175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368300"/>
                        </a:xfrm>
                        <a:prstGeom prst="rect">
                          <a:avLst/>
                        </a:prstGeom>
                        <a:solidFill>
                          <a:srgbClr val="FFFFFF"/>
                        </a:solidFill>
                        <a:ln w="9525">
                          <a:noFill/>
                          <a:miter lim="800000"/>
                          <a:headEnd/>
                          <a:tailEnd/>
                        </a:ln>
                      </wps:spPr>
                      <wps:txbx>
                        <w:txbxContent>
                          <w:p w14:paraId="0EA4079E" w14:textId="77777777" w:rsidR="00F532DC" w:rsidRPr="00573D72" w:rsidRDefault="00F532DC" w:rsidP="00F532DC">
                            <w:pPr>
                              <w:rPr>
                                <w:sz w:val="20"/>
                                <w:szCs w:val="20"/>
                              </w:rPr>
                            </w:pPr>
                            <w:r w:rsidRPr="00573D72">
                              <w:rPr>
                                <w:sz w:val="20"/>
                                <w:szCs w:val="20"/>
                              </w:rPr>
                              <w:t xml:space="preserve">Source: National Child Measurement Programme. </w:t>
                            </w:r>
                          </w:p>
                          <w:p w14:paraId="45C4E20F" w14:textId="77777777" w:rsidR="00F532DC" w:rsidRPr="006250E7" w:rsidRDefault="00F532DC" w:rsidP="00F532D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C26C6" id="_x0000_s1028" type="#_x0000_t202" style="position:absolute;margin-left:0;margin-top:290.8pt;width:267.1pt;height:29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" stroked="f">
                <v:textbox>
                  <w:txbxContent>
                    <w:p w14:paraId="0EA4079E" w14:textId="77777777" w:rsidR="00F532DC" w:rsidRPr="00573D72" w:rsidRDefault="00F532DC" w:rsidP="00F532DC">
                      <w:pPr>
                        <w:rPr>
                          <w:sz w:val="20"/>
                          <w:szCs w:val="20"/>
                        </w:rPr>
                      </w:pPr>
                      <w:r w:rsidRPr="00573D72">
                        <w:rPr>
                          <w:sz w:val="20"/>
                          <w:szCs w:val="20"/>
                        </w:rPr>
                        <w:t xml:space="preserve">Source: National Child Measurement Programme. </w:t>
                      </w:r>
                    </w:p>
                    <w:p w14:paraId="45C4E20F" w14:textId="77777777" w:rsidR="00F532DC" w:rsidRPr="006250E7" w:rsidRDefault="00F532DC" w:rsidP="00F532DC">
                      <w:pPr>
                        <w:rPr>
                          <w:sz w:val="18"/>
                          <w:szCs w:val="18"/>
                        </w:rPr>
                      </w:pPr>
                    </w:p>
                  </w:txbxContent>
                </v:textbox>
                <w10:wrap type="square" anchorx="margin"/>
              </v:shape>
            </w:pict>
          </mc:Fallback>
        </mc:AlternateContent>
      </w:r>
      <w:r w:rsidRPr="009B4339">
        <w:rPr>
          <w:b/>
          <w:bCs/>
          <w:noProof/>
          <w:szCs w:val="24"/>
        </w:rPr>
        <w:drawing>
          <wp:anchor distT="0" distB="0" distL="114300" distR="114300" simplePos="0" relativeHeight="251724800" behindDoc="0" locked="0" layoutInCell="1" allowOverlap="1" wp14:anchorId="5BA8B1D7" wp14:editId="547F809B">
            <wp:simplePos x="0" y="0"/>
            <wp:positionH relativeFrom="margin">
              <wp:align>left</wp:align>
            </wp:positionH>
            <wp:positionV relativeFrom="paragraph">
              <wp:posOffset>314960</wp:posOffset>
            </wp:positionV>
            <wp:extent cx="5156200" cy="3340100"/>
            <wp:effectExtent l="0" t="0" r="6350" b="12700"/>
            <wp:wrapTopAndBottom/>
            <wp:docPr id="541915099" name="Chart 1">
              <a:extLst xmlns:a="http://schemas.openxmlformats.org/drawingml/2006/main">
                <a:ext uri="{FF2B5EF4-FFF2-40B4-BE49-F238E27FC236}">
                  <a16:creationId xmlns:a16="http://schemas.microsoft.com/office/drawing/2014/main" id="{BF1A3A4C-AAE7-7EB5-BB40-9744F2AE0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b/>
          <w:bCs/>
          <w:szCs w:val="24"/>
        </w:rPr>
        <w:t>Figure 6: P</w:t>
      </w:r>
      <w:r w:rsidRPr="009B4339">
        <w:rPr>
          <w:b/>
          <w:bCs/>
          <w:szCs w:val="24"/>
        </w:rPr>
        <w:t>revalence in Year 6 children per Ward:</w:t>
      </w:r>
      <w:r w:rsidR="00F532DC" w:rsidRPr="009B4339">
        <w:rPr>
          <w:b/>
          <w:bCs/>
          <w:szCs w:val="24"/>
        </w:rPr>
        <w:br w:type="page"/>
      </w:r>
    </w:p>
    <w:p w14:paraId="6EC9CDC6" w14:textId="624436F4" w:rsidR="009B4339" w:rsidRPr="00120ECE" w:rsidRDefault="00EF52E6" w:rsidP="006C66F9">
      <w:pPr>
        <w:spacing w:after="240"/>
        <w:rPr>
          <w:b/>
          <w:bCs/>
          <w:szCs w:val="24"/>
        </w:rPr>
      </w:pPr>
      <w:r>
        <w:rPr>
          <w:b/>
          <w:bCs/>
          <w:szCs w:val="24"/>
        </w:rPr>
        <w:lastRenderedPageBreak/>
        <w:t>Figure</w:t>
      </w:r>
      <w:r w:rsidRPr="00120ECE">
        <w:rPr>
          <w:b/>
          <w:bCs/>
          <w:szCs w:val="24"/>
        </w:rPr>
        <w:t xml:space="preserve"> </w:t>
      </w:r>
      <w:r>
        <w:rPr>
          <w:b/>
          <w:bCs/>
          <w:szCs w:val="24"/>
        </w:rPr>
        <w:t xml:space="preserve">7: </w:t>
      </w:r>
      <w:r w:rsidR="009B4339" w:rsidRPr="00120ECE">
        <w:rPr>
          <w:b/>
          <w:bCs/>
          <w:szCs w:val="24"/>
        </w:rPr>
        <w:t xml:space="preserve">Prevalence of </w:t>
      </w:r>
      <w:r w:rsidR="006D4378">
        <w:rPr>
          <w:b/>
          <w:bCs/>
          <w:szCs w:val="24"/>
        </w:rPr>
        <w:t>O</w:t>
      </w:r>
      <w:r w:rsidR="009B4339" w:rsidRPr="00120ECE">
        <w:rPr>
          <w:b/>
          <w:bCs/>
          <w:szCs w:val="24"/>
        </w:rPr>
        <w:t xml:space="preserve">besity in Reception and Year 6 </w:t>
      </w:r>
      <w:r w:rsidR="006D4378">
        <w:rPr>
          <w:b/>
          <w:bCs/>
          <w:szCs w:val="24"/>
        </w:rPr>
        <w:t>C</w:t>
      </w:r>
      <w:r w:rsidR="009B4339" w:rsidRPr="00120ECE">
        <w:rPr>
          <w:b/>
          <w:bCs/>
          <w:szCs w:val="24"/>
        </w:rPr>
        <w:t>hildren per Ward (2021/22 to 2023/24):</w:t>
      </w:r>
    </w:p>
    <w:tbl>
      <w:tblPr>
        <w:tblStyle w:val="TableGrid"/>
        <w:tblW w:w="0" w:type="auto"/>
        <w:tblBorders>
          <w:top w:val="single" w:sz="18" w:space="0" w:color="002060"/>
          <w:left w:val="single" w:sz="18" w:space="0" w:color="002060"/>
          <w:bottom w:val="single" w:sz="18" w:space="0" w:color="002060"/>
          <w:right w:val="single" w:sz="18" w:space="0" w:color="002060"/>
        </w:tblBorders>
        <w:tblLook w:val="04A0" w:firstRow="1" w:lastRow="0" w:firstColumn="1" w:lastColumn="0" w:noHBand="0" w:noVBand="1"/>
      </w:tblPr>
      <w:tblGrid>
        <w:gridCol w:w="4088"/>
        <w:gridCol w:w="2552"/>
        <w:gridCol w:w="2268"/>
      </w:tblGrid>
      <w:tr w:rsidR="009B4339" w14:paraId="38D476A8" w14:textId="77777777" w:rsidTr="006C66F9">
        <w:trPr>
          <w:tblHeader/>
        </w:trPr>
        <w:tc>
          <w:tcPr>
            <w:tcW w:w="4088" w:type="dxa"/>
            <w:tcBorders>
              <w:top w:val="single" w:sz="18" w:space="0" w:color="002060"/>
              <w:left w:val="single" w:sz="18" w:space="0" w:color="002060"/>
              <w:bottom w:val="single" w:sz="4" w:space="0" w:color="auto"/>
            </w:tcBorders>
            <w:shd w:val="clear" w:color="auto" w:fill="002060"/>
          </w:tcPr>
          <w:p w14:paraId="551288A2" w14:textId="77777777" w:rsidR="009B4339" w:rsidRPr="000A41DE" w:rsidRDefault="009B4339" w:rsidP="006C66F9">
            <w:pPr>
              <w:rPr>
                <w:b/>
                <w:bCs/>
              </w:rPr>
            </w:pPr>
            <w:r w:rsidRPr="000A41DE">
              <w:rPr>
                <w:b/>
                <w:bCs/>
              </w:rPr>
              <w:t xml:space="preserve">Ward </w:t>
            </w:r>
          </w:p>
        </w:tc>
        <w:tc>
          <w:tcPr>
            <w:tcW w:w="2552" w:type="dxa"/>
            <w:tcBorders>
              <w:top w:val="single" w:sz="18" w:space="0" w:color="002060"/>
              <w:bottom w:val="single" w:sz="4" w:space="0" w:color="auto"/>
            </w:tcBorders>
            <w:shd w:val="clear" w:color="auto" w:fill="002060"/>
          </w:tcPr>
          <w:p w14:paraId="4310A17E" w14:textId="6E5BFF61" w:rsidR="009B4339" w:rsidRPr="000A41DE" w:rsidRDefault="009B4339" w:rsidP="006C66F9">
            <w:pPr>
              <w:rPr>
                <w:b/>
                <w:bCs/>
              </w:rPr>
            </w:pPr>
            <w:r w:rsidRPr="000A41DE">
              <w:rPr>
                <w:b/>
                <w:bCs/>
              </w:rPr>
              <w:t>Reception (ages 4-5 years)</w:t>
            </w:r>
            <w:r w:rsidR="001C3AAE">
              <w:rPr>
                <w:b/>
                <w:bCs/>
              </w:rPr>
              <w:t xml:space="preserve"> (%)</w:t>
            </w:r>
          </w:p>
        </w:tc>
        <w:tc>
          <w:tcPr>
            <w:tcW w:w="2268" w:type="dxa"/>
            <w:tcBorders>
              <w:top w:val="single" w:sz="18" w:space="0" w:color="002060"/>
              <w:bottom w:val="single" w:sz="4" w:space="0" w:color="auto"/>
              <w:right w:val="single" w:sz="18" w:space="0" w:color="002060"/>
            </w:tcBorders>
            <w:shd w:val="clear" w:color="auto" w:fill="002060"/>
          </w:tcPr>
          <w:p w14:paraId="7010352A" w14:textId="3B254F61" w:rsidR="009B4339" w:rsidRPr="000A41DE" w:rsidRDefault="009B4339" w:rsidP="006C66F9">
            <w:pPr>
              <w:rPr>
                <w:b/>
                <w:bCs/>
              </w:rPr>
            </w:pPr>
            <w:r w:rsidRPr="000A41DE">
              <w:rPr>
                <w:b/>
                <w:bCs/>
              </w:rPr>
              <w:t>Year 6 (ages 10-11 years)</w:t>
            </w:r>
            <w:r w:rsidR="001C3AAE">
              <w:rPr>
                <w:b/>
                <w:bCs/>
              </w:rPr>
              <w:t xml:space="preserve"> (%)</w:t>
            </w:r>
          </w:p>
        </w:tc>
      </w:tr>
      <w:tr w:rsidR="009B4339" w14:paraId="5B49A4A8" w14:textId="77777777" w:rsidTr="006C66F9">
        <w:trPr>
          <w:trHeight w:val="277"/>
        </w:trPr>
        <w:tc>
          <w:tcPr>
            <w:tcW w:w="4088" w:type="dxa"/>
            <w:tcBorders>
              <w:top w:val="single" w:sz="4" w:space="0" w:color="auto"/>
              <w:left w:val="single" w:sz="18" w:space="0" w:color="002060"/>
              <w:bottom w:val="single" w:sz="12" w:space="0" w:color="002060"/>
              <w:right w:val="single" w:sz="12" w:space="0" w:color="002060"/>
            </w:tcBorders>
            <w:shd w:val="clear" w:color="auto" w:fill="D9E2F3" w:themeFill="accent1" w:themeFillTint="33"/>
          </w:tcPr>
          <w:p w14:paraId="49D8E22C" w14:textId="77777777" w:rsidR="009B4339" w:rsidRPr="000A41DE" w:rsidRDefault="009B4339" w:rsidP="006C66F9">
            <w:pPr>
              <w:rPr>
                <w:b/>
                <w:bCs/>
              </w:rPr>
            </w:pPr>
            <w:r w:rsidRPr="000A41DE">
              <w:t>Backworth and Holystone</w:t>
            </w:r>
          </w:p>
        </w:tc>
        <w:tc>
          <w:tcPr>
            <w:tcW w:w="2552" w:type="dxa"/>
            <w:tcBorders>
              <w:top w:val="single" w:sz="4" w:space="0" w:color="auto"/>
              <w:left w:val="single" w:sz="12" w:space="0" w:color="002060"/>
              <w:bottom w:val="single" w:sz="12" w:space="0" w:color="002060"/>
              <w:right w:val="single" w:sz="12" w:space="0" w:color="002060"/>
            </w:tcBorders>
            <w:shd w:val="clear" w:color="auto" w:fill="D9E2F3" w:themeFill="accent1" w:themeFillTint="33"/>
          </w:tcPr>
          <w:p w14:paraId="20699557" w14:textId="77777777" w:rsidR="009B4339" w:rsidRPr="000A41DE" w:rsidRDefault="009B4339" w:rsidP="006C66F9">
            <w:pPr>
              <w:jc w:val="center"/>
            </w:pPr>
            <w:r w:rsidRPr="000A41DE">
              <w:t>7.5</w:t>
            </w:r>
          </w:p>
        </w:tc>
        <w:tc>
          <w:tcPr>
            <w:tcW w:w="2268" w:type="dxa"/>
            <w:tcBorders>
              <w:top w:val="single" w:sz="4" w:space="0" w:color="auto"/>
              <w:left w:val="single" w:sz="12" w:space="0" w:color="002060"/>
              <w:bottom w:val="single" w:sz="12" w:space="0" w:color="002060"/>
              <w:right w:val="single" w:sz="18" w:space="0" w:color="002060"/>
            </w:tcBorders>
            <w:shd w:val="clear" w:color="auto" w:fill="D9E2F3" w:themeFill="accent1" w:themeFillTint="33"/>
          </w:tcPr>
          <w:p w14:paraId="0D92FEE7" w14:textId="77777777" w:rsidR="009B4339" w:rsidRPr="000A41DE" w:rsidRDefault="009B4339" w:rsidP="006C66F9">
            <w:pPr>
              <w:jc w:val="center"/>
            </w:pPr>
            <w:r w:rsidRPr="000A41DE">
              <w:t>20.7</w:t>
            </w:r>
          </w:p>
        </w:tc>
      </w:tr>
      <w:tr w:rsidR="009B4339" w14:paraId="6FA77377"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333E9879" w14:textId="77777777" w:rsidR="009B4339" w:rsidRPr="000A41DE" w:rsidRDefault="009B4339" w:rsidP="006C66F9">
            <w:pPr>
              <w:rPr>
                <w:b/>
                <w:bCs/>
              </w:rPr>
            </w:pPr>
            <w:r w:rsidRPr="000A41DE">
              <w:t>Battle Hill</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036C32D3" w14:textId="62412033" w:rsidR="009B4339" w:rsidRPr="000A41DE" w:rsidRDefault="009B4339" w:rsidP="006C66F9">
            <w:pPr>
              <w:jc w:val="center"/>
            </w:pPr>
            <w:r w:rsidRPr="000A41DE">
              <w:t>10.1</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68E68C76" w14:textId="77777777" w:rsidR="009B4339" w:rsidRPr="000A41DE" w:rsidRDefault="009B4339" w:rsidP="006C66F9">
            <w:pPr>
              <w:jc w:val="center"/>
            </w:pPr>
            <w:r w:rsidRPr="000A41DE">
              <w:t>28.9</w:t>
            </w:r>
          </w:p>
        </w:tc>
      </w:tr>
      <w:tr w:rsidR="009B4339" w14:paraId="12AE7F0E"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06058BF4" w14:textId="77777777" w:rsidR="009B4339" w:rsidRPr="000A41DE" w:rsidRDefault="009B4339" w:rsidP="006C66F9">
            <w:pPr>
              <w:rPr>
                <w:b/>
                <w:bCs/>
              </w:rPr>
            </w:pPr>
            <w:r w:rsidRPr="000A41DE">
              <w:t xml:space="preserve">Camperdown </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1DD6BC86" w14:textId="77777777" w:rsidR="009B4339" w:rsidRPr="000A41DE" w:rsidRDefault="009B4339" w:rsidP="006C66F9">
            <w:pPr>
              <w:jc w:val="center"/>
            </w:pPr>
            <w:r w:rsidRPr="000A41DE">
              <w:t>6.5</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520B32F3" w14:textId="77777777" w:rsidR="009B4339" w:rsidRPr="000A41DE" w:rsidRDefault="009B4339" w:rsidP="006C66F9">
            <w:pPr>
              <w:jc w:val="center"/>
            </w:pPr>
            <w:r w:rsidRPr="000A41DE">
              <w:t>20.4</w:t>
            </w:r>
          </w:p>
        </w:tc>
      </w:tr>
      <w:tr w:rsidR="009B4339" w14:paraId="0BC86896" w14:textId="77777777" w:rsidTr="00947AC4">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4B4CE958" w14:textId="77777777" w:rsidR="009B4339" w:rsidRPr="000A41DE" w:rsidRDefault="009B4339" w:rsidP="006C66F9">
            <w:pPr>
              <w:rPr>
                <w:b/>
                <w:bCs/>
              </w:rPr>
            </w:pPr>
            <w:r w:rsidRPr="000A41DE">
              <w:t>Chirton &amp; Percy Main</w:t>
            </w:r>
          </w:p>
        </w:tc>
        <w:tc>
          <w:tcPr>
            <w:tcW w:w="2552" w:type="dxa"/>
            <w:tcBorders>
              <w:top w:val="single" w:sz="12" w:space="0" w:color="002060"/>
              <w:left w:val="single" w:sz="12" w:space="0" w:color="002060"/>
              <w:bottom w:val="single" w:sz="12" w:space="0" w:color="002060"/>
              <w:right w:val="single" w:sz="12" w:space="0" w:color="002060"/>
            </w:tcBorders>
            <w:shd w:val="clear" w:color="auto" w:fill="ED7D31" w:themeFill="accent2"/>
          </w:tcPr>
          <w:p w14:paraId="60A0A3B7" w14:textId="77777777" w:rsidR="009B4339" w:rsidRPr="000A41DE" w:rsidRDefault="009B4339" w:rsidP="006C66F9">
            <w:pPr>
              <w:jc w:val="center"/>
            </w:pPr>
            <w:r w:rsidRPr="000A41DE">
              <w:t>16.0</w:t>
            </w:r>
          </w:p>
        </w:tc>
        <w:tc>
          <w:tcPr>
            <w:tcW w:w="2268" w:type="dxa"/>
            <w:tcBorders>
              <w:top w:val="single" w:sz="12" w:space="0" w:color="002060"/>
              <w:left w:val="single" w:sz="12" w:space="0" w:color="002060"/>
              <w:bottom w:val="single" w:sz="12" w:space="0" w:color="002060"/>
              <w:right w:val="single" w:sz="18" w:space="0" w:color="002060"/>
            </w:tcBorders>
            <w:shd w:val="clear" w:color="auto" w:fill="ED7D31" w:themeFill="accent2"/>
          </w:tcPr>
          <w:p w14:paraId="0DB5A004" w14:textId="77777777" w:rsidR="009B4339" w:rsidRPr="000A41DE" w:rsidRDefault="009B4339" w:rsidP="006C66F9">
            <w:pPr>
              <w:jc w:val="center"/>
            </w:pPr>
            <w:r w:rsidRPr="000A41DE">
              <w:t>33.5</w:t>
            </w:r>
          </w:p>
        </w:tc>
      </w:tr>
      <w:tr w:rsidR="009B4339" w14:paraId="471833C0"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2260FFA3" w14:textId="77777777" w:rsidR="009B4339" w:rsidRPr="000A41DE" w:rsidRDefault="009B4339" w:rsidP="006C66F9">
            <w:pPr>
              <w:rPr>
                <w:b/>
                <w:bCs/>
              </w:rPr>
            </w:pPr>
            <w:r w:rsidRPr="000A41DE">
              <w:t xml:space="preserve">Cullercoats &amp; Whitley Bay South </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7E3BCC14" w14:textId="77777777" w:rsidR="009B4339" w:rsidRPr="000A41DE" w:rsidRDefault="009B4339" w:rsidP="006C66F9">
            <w:pPr>
              <w:jc w:val="center"/>
            </w:pPr>
            <w:r w:rsidRPr="000A41DE">
              <w:t>8.4</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5711207D" w14:textId="77777777" w:rsidR="009B4339" w:rsidRPr="000A41DE" w:rsidRDefault="009B4339" w:rsidP="006C66F9">
            <w:pPr>
              <w:jc w:val="center"/>
            </w:pPr>
            <w:r w:rsidRPr="000A41DE">
              <w:t>14.3</w:t>
            </w:r>
          </w:p>
        </w:tc>
      </w:tr>
      <w:tr w:rsidR="009B4339" w14:paraId="2BF3B492"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06862C83" w14:textId="77777777" w:rsidR="009B4339" w:rsidRPr="000A41DE" w:rsidRDefault="009B4339" w:rsidP="006C66F9">
            <w:pPr>
              <w:rPr>
                <w:b/>
                <w:bCs/>
              </w:rPr>
            </w:pPr>
            <w:r w:rsidRPr="000A41DE">
              <w:t>Forest Hall</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6466564F" w14:textId="77777777" w:rsidR="009B4339" w:rsidRPr="000A41DE" w:rsidRDefault="009B4339" w:rsidP="006C66F9">
            <w:pPr>
              <w:jc w:val="center"/>
            </w:pPr>
            <w:r w:rsidRPr="000A41DE">
              <w:t>8.5</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450A01CB" w14:textId="77777777" w:rsidR="009B4339" w:rsidRPr="000A41DE" w:rsidRDefault="009B4339" w:rsidP="006C66F9">
            <w:pPr>
              <w:jc w:val="center"/>
            </w:pPr>
            <w:r w:rsidRPr="000A41DE">
              <w:t>21.8</w:t>
            </w:r>
          </w:p>
        </w:tc>
      </w:tr>
      <w:tr w:rsidR="009B4339" w14:paraId="6D304DB7"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3F630720" w14:textId="77777777" w:rsidR="009B4339" w:rsidRPr="000A41DE" w:rsidRDefault="009B4339" w:rsidP="006C66F9">
            <w:pPr>
              <w:rPr>
                <w:b/>
                <w:bCs/>
              </w:rPr>
            </w:pPr>
            <w:r w:rsidRPr="000A41DE">
              <w:t xml:space="preserve">Howdon </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55153868" w14:textId="77777777" w:rsidR="009B4339" w:rsidRPr="000A41DE" w:rsidRDefault="009B4339" w:rsidP="006C66F9">
            <w:pPr>
              <w:jc w:val="center"/>
            </w:pPr>
            <w:r w:rsidRPr="000A41DE">
              <w:t>10.5</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2A21C932" w14:textId="77777777" w:rsidR="009B4339" w:rsidRPr="000A41DE" w:rsidRDefault="009B4339" w:rsidP="006C66F9">
            <w:pPr>
              <w:jc w:val="center"/>
            </w:pPr>
            <w:r w:rsidRPr="000A41DE">
              <w:t>34.2</w:t>
            </w:r>
          </w:p>
        </w:tc>
      </w:tr>
      <w:tr w:rsidR="009B4339" w14:paraId="073FB7E5"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71225B6A" w14:textId="77777777" w:rsidR="009B4339" w:rsidRPr="000A41DE" w:rsidRDefault="009B4339" w:rsidP="006C66F9">
            <w:pPr>
              <w:rPr>
                <w:b/>
                <w:bCs/>
              </w:rPr>
            </w:pPr>
            <w:r w:rsidRPr="000A41DE">
              <w:t>Killingworth</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4E19EE1D" w14:textId="77777777" w:rsidR="009B4339" w:rsidRPr="000A41DE" w:rsidRDefault="009B4339" w:rsidP="006C66F9">
            <w:pPr>
              <w:jc w:val="center"/>
            </w:pPr>
            <w:r w:rsidRPr="000A41DE">
              <w:t>7.9</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53D0AB12" w14:textId="77777777" w:rsidR="009B4339" w:rsidRPr="000A41DE" w:rsidRDefault="009B4339" w:rsidP="006C66F9">
            <w:pPr>
              <w:jc w:val="center"/>
            </w:pPr>
            <w:r w:rsidRPr="000A41DE">
              <w:t>24.7</w:t>
            </w:r>
          </w:p>
        </w:tc>
      </w:tr>
      <w:tr w:rsidR="009B4339" w14:paraId="30CFBE83"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327E8450" w14:textId="77777777" w:rsidR="009B4339" w:rsidRPr="000A41DE" w:rsidRDefault="009B4339" w:rsidP="006C66F9">
            <w:pPr>
              <w:rPr>
                <w:b/>
                <w:bCs/>
              </w:rPr>
            </w:pPr>
            <w:r w:rsidRPr="000A41DE">
              <w:t>Longbenton &amp; Benton</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3AA6CCC6" w14:textId="77777777" w:rsidR="009B4339" w:rsidRPr="000A41DE" w:rsidRDefault="009B4339" w:rsidP="006C66F9">
            <w:pPr>
              <w:jc w:val="center"/>
            </w:pPr>
            <w:r w:rsidRPr="000A41DE">
              <w:t>11.8</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2C0AAE5C" w14:textId="77777777" w:rsidR="009B4339" w:rsidRPr="000A41DE" w:rsidRDefault="009B4339" w:rsidP="006C66F9">
            <w:pPr>
              <w:jc w:val="center"/>
            </w:pPr>
            <w:r w:rsidRPr="000A41DE">
              <w:t>24.3</w:t>
            </w:r>
          </w:p>
        </w:tc>
      </w:tr>
      <w:tr w:rsidR="009B4339" w14:paraId="6E024CAA"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2CCC7F2F" w14:textId="77777777" w:rsidR="009B4339" w:rsidRPr="000A41DE" w:rsidRDefault="009B4339" w:rsidP="006C66F9">
            <w:pPr>
              <w:rPr>
                <w:b/>
                <w:bCs/>
              </w:rPr>
            </w:pPr>
            <w:r w:rsidRPr="000A41DE">
              <w:t>Monkseaton</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3C37EE83" w14:textId="77777777" w:rsidR="009B4339" w:rsidRPr="000A41DE" w:rsidRDefault="009B4339" w:rsidP="006C66F9">
            <w:pPr>
              <w:jc w:val="center"/>
            </w:pPr>
            <w:r w:rsidRPr="000A41DE">
              <w:t>6.3</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48C5F985" w14:textId="77777777" w:rsidR="009B4339" w:rsidRPr="000A41DE" w:rsidRDefault="009B4339" w:rsidP="006C66F9">
            <w:pPr>
              <w:jc w:val="center"/>
            </w:pPr>
            <w:r w:rsidRPr="000A41DE">
              <w:t>15.8</w:t>
            </w:r>
          </w:p>
        </w:tc>
      </w:tr>
      <w:tr w:rsidR="009B4339" w14:paraId="1A17E3A1"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6943FE6E" w14:textId="77777777" w:rsidR="009B4339" w:rsidRPr="000A41DE" w:rsidRDefault="009B4339" w:rsidP="006C66F9">
            <w:pPr>
              <w:rPr>
                <w:b/>
                <w:bCs/>
              </w:rPr>
            </w:pPr>
            <w:r w:rsidRPr="000A41DE">
              <w:t>New York and Murton</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7084B8B8" w14:textId="77777777" w:rsidR="009B4339" w:rsidRPr="000A41DE" w:rsidRDefault="009B4339" w:rsidP="006C66F9">
            <w:pPr>
              <w:jc w:val="center"/>
            </w:pPr>
            <w:r w:rsidRPr="000A41DE">
              <w:t>11.2</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2EAF673A" w14:textId="77777777" w:rsidR="009B4339" w:rsidRPr="000A41DE" w:rsidRDefault="009B4339" w:rsidP="006C66F9">
            <w:pPr>
              <w:jc w:val="center"/>
            </w:pPr>
            <w:r w:rsidRPr="000A41DE">
              <w:t>30.2</w:t>
            </w:r>
          </w:p>
        </w:tc>
      </w:tr>
      <w:tr w:rsidR="009B4339" w14:paraId="4A278AE3"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21845CE0" w14:textId="77777777" w:rsidR="009B4339" w:rsidRPr="000A41DE" w:rsidRDefault="009B4339" w:rsidP="006C66F9">
            <w:pPr>
              <w:rPr>
                <w:b/>
                <w:bCs/>
              </w:rPr>
            </w:pPr>
            <w:r w:rsidRPr="000A41DE">
              <w:t>North Shields</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6DEBB87E" w14:textId="77777777" w:rsidR="009B4339" w:rsidRPr="000A41DE" w:rsidRDefault="009B4339" w:rsidP="006C66F9">
            <w:pPr>
              <w:jc w:val="center"/>
            </w:pPr>
            <w:r w:rsidRPr="000A41DE">
              <w:t>7.4</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07119FAE" w14:textId="77777777" w:rsidR="009B4339" w:rsidRPr="000A41DE" w:rsidRDefault="009B4339" w:rsidP="006C66F9">
            <w:pPr>
              <w:jc w:val="center"/>
            </w:pPr>
            <w:r w:rsidRPr="000A41DE">
              <w:t>26.6</w:t>
            </w:r>
          </w:p>
        </w:tc>
      </w:tr>
      <w:tr w:rsidR="009B4339" w14:paraId="0B0EFD4B"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6A07F48A" w14:textId="77777777" w:rsidR="009B4339" w:rsidRPr="000A41DE" w:rsidRDefault="009B4339" w:rsidP="006C66F9">
            <w:pPr>
              <w:rPr>
                <w:b/>
                <w:bCs/>
              </w:rPr>
            </w:pPr>
            <w:r w:rsidRPr="000A41DE">
              <w:t xml:space="preserve">Preston with Preston Grange </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4E3D3650" w14:textId="77777777" w:rsidR="009B4339" w:rsidRPr="000A41DE" w:rsidRDefault="009B4339" w:rsidP="006C66F9">
            <w:pPr>
              <w:jc w:val="center"/>
            </w:pPr>
            <w:r w:rsidRPr="000A41DE">
              <w:t>5.8</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1D596F49" w14:textId="77777777" w:rsidR="009B4339" w:rsidRPr="000A41DE" w:rsidRDefault="009B4339" w:rsidP="006C66F9">
            <w:pPr>
              <w:jc w:val="center"/>
            </w:pPr>
            <w:r w:rsidRPr="000A41DE">
              <w:t>22.6</w:t>
            </w:r>
          </w:p>
        </w:tc>
      </w:tr>
      <w:tr w:rsidR="009B4339" w14:paraId="211338E2"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5917DB72" w14:textId="77777777" w:rsidR="009B4339" w:rsidRPr="000A41DE" w:rsidRDefault="009B4339" w:rsidP="006C66F9">
            <w:pPr>
              <w:rPr>
                <w:b/>
                <w:bCs/>
              </w:rPr>
            </w:pPr>
            <w:r w:rsidRPr="000A41DE">
              <w:t>Shiremoor</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034A7CE9" w14:textId="77777777" w:rsidR="009B4339" w:rsidRPr="000A41DE" w:rsidRDefault="009B4339" w:rsidP="006C66F9">
            <w:pPr>
              <w:jc w:val="center"/>
            </w:pPr>
            <w:r w:rsidRPr="000A41DE">
              <w:t>10.4</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5BA6979D" w14:textId="77777777" w:rsidR="009B4339" w:rsidRPr="000A41DE" w:rsidRDefault="009B4339" w:rsidP="006C66F9">
            <w:pPr>
              <w:jc w:val="center"/>
            </w:pPr>
            <w:r w:rsidRPr="000A41DE">
              <w:t>21.8</w:t>
            </w:r>
          </w:p>
        </w:tc>
      </w:tr>
      <w:tr w:rsidR="009B4339" w14:paraId="3581D810" w14:textId="77777777" w:rsidTr="00947AC4">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7979EE38" w14:textId="77777777" w:rsidR="009B4339" w:rsidRPr="000A41DE" w:rsidRDefault="009B4339" w:rsidP="006C66F9">
            <w:pPr>
              <w:rPr>
                <w:b/>
                <w:bCs/>
              </w:rPr>
            </w:pPr>
            <w:r w:rsidRPr="000A41DE">
              <w:t>St Mary’s</w:t>
            </w:r>
          </w:p>
        </w:tc>
        <w:tc>
          <w:tcPr>
            <w:tcW w:w="2552" w:type="dxa"/>
            <w:tcBorders>
              <w:top w:val="single" w:sz="12" w:space="0" w:color="002060"/>
              <w:left w:val="single" w:sz="12" w:space="0" w:color="002060"/>
              <w:bottom w:val="single" w:sz="12" w:space="0" w:color="002060"/>
              <w:right w:val="single" w:sz="12" w:space="0" w:color="002060"/>
            </w:tcBorders>
            <w:shd w:val="clear" w:color="auto" w:fill="E2EFD9" w:themeFill="accent6" w:themeFillTint="33"/>
          </w:tcPr>
          <w:p w14:paraId="55B4DC6B" w14:textId="77777777" w:rsidR="009B4339" w:rsidRPr="000A41DE" w:rsidRDefault="009B4339" w:rsidP="006C66F9">
            <w:pPr>
              <w:jc w:val="center"/>
            </w:pPr>
            <w:r w:rsidRPr="000A41DE">
              <w:t>4.3</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1678DB4D" w14:textId="77777777" w:rsidR="009B4339" w:rsidRPr="000A41DE" w:rsidRDefault="009B4339" w:rsidP="006C66F9">
            <w:pPr>
              <w:jc w:val="center"/>
            </w:pPr>
            <w:r w:rsidRPr="000A41DE">
              <w:t>12.9</w:t>
            </w:r>
          </w:p>
        </w:tc>
      </w:tr>
      <w:tr w:rsidR="009B4339" w14:paraId="1BD0E3C8"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514AB567" w14:textId="77777777" w:rsidR="009B4339" w:rsidRPr="000A41DE" w:rsidRDefault="009B4339" w:rsidP="006C66F9">
            <w:pPr>
              <w:rPr>
                <w:b/>
                <w:bCs/>
              </w:rPr>
            </w:pPr>
            <w:r w:rsidRPr="000A41DE">
              <w:t>Tynemouth</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3A1E1738" w14:textId="77777777" w:rsidR="009B4339" w:rsidRPr="000A41DE" w:rsidRDefault="009B4339" w:rsidP="006C66F9">
            <w:pPr>
              <w:jc w:val="center"/>
            </w:pPr>
            <w:r w:rsidRPr="000A41DE">
              <w:t>6.6</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2F6DA147" w14:textId="77777777" w:rsidR="009B4339" w:rsidRPr="000A41DE" w:rsidRDefault="009B4339" w:rsidP="006C66F9">
            <w:pPr>
              <w:jc w:val="center"/>
            </w:pPr>
            <w:r w:rsidRPr="000A41DE">
              <w:t>14.5</w:t>
            </w:r>
          </w:p>
        </w:tc>
      </w:tr>
      <w:tr w:rsidR="009B4339" w14:paraId="5A678369"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37BF31F8" w14:textId="77777777" w:rsidR="009B4339" w:rsidRPr="000A41DE" w:rsidRDefault="009B4339" w:rsidP="006C66F9">
            <w:pPr>
              <w:rPr>
                <w:b/>
                <w:bCs/>
              </w:rPr>
            </w:pPr>
            <w:r w:rsidRPr="000A41DE">
              <w:t>Wallsend Central</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3CECC76B" w14:textId="77777777" w:rsidR="009B4339" w:rsidRPr="000A41DE" w:rsidRDefault="009B4339" w:rsidP="006C66F9">
            <w:pPr>
              <w:jc w:val="center"/>
            </w:pPr>
            <w:r w:rsidRPr="000A41DE">
              <w:t>10.1</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62AB22EB" w14:textId="77777777" w:rsidR="009B4339" w:rsidRPr="000A41DE" w:rsidRDefault="009B4339" w:rsidP="006C66F9">
            <w:pPr>
              <w:jc w:val="center"/>
            </w:pPr>
            <w:r w:rsidRPr="000A41DE">
              <w:t>29.9</w:t>
            </w:r>
          </w:p>
        </w:tc>
      </w:tr>
      <w:tr w:rsidR="009B4339" w14:paraId="79954BF7"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50293E84" w14:textId="10457A49" w:rsidR="009B4339" w:rsidRPr="000A41DE" w:rsidRDefault="009B4339" w:rsidP="006C66F9">
            <w:pPr>
              <w:rPr>
                <w:b/>
                <w:bCs/>
              </w:rPr>
            </w:pPr>
            <w:r w:rsidRPr="000A41DE">
              <w:t xml:space="preserve">Wallsend North </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595032F5" w14:textId="77777777" w:rsidR="009B4339" w:rsidRPr="000A41DE" w:rsidRDefault="009B4339" w:rsidP="006C66F9">
            <w:pPr>
              <w:jc w:val="center"/>
            </w:pPr>
            <w:r w:rsidRPr="000A41DE">
              <w:t>11.3</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74BFB525" w14:textId="77777777" w:rsidR="009B4339" w:rsidRPr="000A41DE" w:rsidRDefault="009B4339" w:rsidP="006C66F9">
            <w:pPr>
              <w:jc w:val="center"/>
            </w:pPr>
            <w:r w:rsidRPr="000A41DE">
              <w:t>26.2</w:t>
            </w:r>
          </w:p>
        </w:tc>
      </w:tr>
      <w:tr w:rsidR="009B4339" w14:paraId="0D689C41" w14:textId="77777777" w:rsidTr="006C66F9">
        <w:trPr>
          <w:trHeight w:val="277"/>
        </w:trPr>
        <w:tc>
          <w:tcPr>
            <w:tcW w:w="4088" w:type="dxa"/>
            <w:tcBorders>
              <w:top w:val="single" w:sz="12" w:space="0" w:color="002060"/>
              <w:left w:val="single" w:sz="18" w:space="0" w:color="002060"/>
              <w:bottom w:val="single" w:sz="12" w:space="0" w:color="002060"/>
              <w:right w:val="single" w:sz="12" w:space="0" w:color="002060"/>
            </w:tcBorders>
            <w:shd w:val="clear" w:color="auto" w:fill="D9E2F3" w:themeFill="accent1" w:themeFillTint="33"/>
          </w:tcPr>
          <w:p w14:paraId="6F9048ED" w14:textId="43FF529E" w:rsidR="009B4339" w:rsidRPr="000A41DE" w:rsidRDefault="009B4339" w:rsidP="006C66F9">
            <w:pPr>
              <w:rPr>
                <w:b/>
                <w:bCs/>
              </w:rPr>
            </w:pPr>
            <w:r w:rsidRPr="000A41DE">
              <w:t>Weetslade</w:t>
            </w:r>
          </w:p>
        </w:tc>
        <w:tc>
          <w:tcPr>
            <w:tcW w:w="2552"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0D4A923A" w14:textId="77777777" w:rsidR="009B4339" w:rsidRPr="000A41DE" w:rsidRDefault="009B4339" w:rsidP="006C66F9">
            <w:pPr>
              <w:jc w:val="center"/>
            </w:pPr>
            <w:r w:rsidRPr="000A41DE">
              <w:t>10.0</w:t>
            </w:r>
          </w:p>
        </w:tc>
        <w:tc>
          <w:tcPr>
            <w:tcW w:w="2268" w:type="dxa"/>
            <w:tcBorders>
              <w:top w:val="single" w:sz="12" w:space="0" w:color="002060"/>
              <w:left w:val="single" w:sz="12" w:space="0" w:color="002060"/>
              <w:bottom w:val="single" w:sz="12" w:space="0" w:color="002060"/>
              <w:right w:val="single" w:sz="18" w:space="0" w:color="002060"/>
            </w:tcBorders>
            <w:shd w:val="clear" w:color="auto" w:fill="D9E2F3" w:themeFill="accent1" w:themeFillTint="33"/>
          </w:tcPr>
          <w:p w14:paraId="00D884BB" w14:textId="77777777" w:rsidR="009B4339" w:rsidRPr="000A41DE" w:rsidRDefault="009B4339" w:rsidP="006C66F9">
            <w:pPr>
              <w:jc w:val="center"/>
            </w:pPr>
            <w:r w:rsidRPr="000A41DE">
              <w:t>29.5</w:t>
            </w:r>
          </w:p>
        </w:tc>
      </w:tr>
      <w:tr w:rsidR="00EC6F63" w14:paraId="1B8702A4" w14:textId="77777777" w:rsidTr="00C8514F">
        <w:trPr>
          <w:trHeight w:val="277"/>
        </w:trPr>
        <w:tc>
          <w:tcPr>
            <w:tcW w:w="4088" w:type="dxa"/>
            <w:tcBorders>
              <w:top w:val="single" w:sz="12" w:space="0" w:color="002060"/>
              <w:left w:val="single" w:sz="18" w:space="0" w:color="002060"/>
              <w:bottom w:val="single" w:sz="24" w:space="0" w:color="002060"/>
              <w:right w:val="single" w:sz="12" w:space="0" w:color="002060"/>
            </w:tcBorders>
            <w:shd w:val="clear" w:color="auto" w:fill="D9E2F3" w:themeFill="accent1" w:themeFillTint="33"/>
          </w:tcPr>
          <w:p w14:paraId="013F2470" w14:textId="0E4ADA3E" w:rsidR="009B4339" w:rsidRPr="000A41DE" w:rsidRDefault="009B4339" w:rsidP="006C66F9">
            <w:pPr>
              <w:rPr>
                <w:b/>
                <w:bCs/>
              </w:rPr>
            </w:pPr>
            <w:r w:rsidRPr="000A41DE">
              <w:t xml:space="preserve">Whitley Bay North </w:t>
            </w:r>
          </w:p>
        </w:tc>
        <w:tc>
          <w:tcPr>
            <w:tcW w:w="2552" w:type="dxa"/>
            <w:tcBorders>
              <w:top w:val="single" w:sz="12" w:space="0" w:color="002060"/>
              <w:left w:val="single" w:sz="12" w:space="0" w:color="002060"/>
              <w:bottom w:val="single" w:sz="24" w:space="0" w:color="002060"/>
              <w:right w:val="single" w:sz="12" w:space="0" w:color="002060"/>
            </w:tcBorders>
            <w:shd w:val="clear" w:color="auto" w:fill="D9E2F3" w:themeFill="accent1" w:themeFillTint="33"/>
          </w:tcPr>
          <w:p w14:paraId="6E658BDA" w14:textId="77777777" w:rsidR="009B4339" w:rsidRPr="000A41DE" w:rsidRDefault="009B4339" w:rsidP="006C66F9">
            <w:pPr>
              <w:jc w:val="center"/>
            </w:pPr>
            <w:r w:rsidRPr="000A41DE">
              <w:t>6.9</w:t>
            </w:r>
          </w:p>
        </w:tc>
        <w:tc>
          <w:tcPr>
            <w:tcW w:w="2268" w:type="dxa"/>
            <w:tcBorders>
              <w:top w:val="single" w:sz="12" w:space="0" w:color="002060"/>
              <w:left w:val="single" w:sz="12" w:space="0" w:color="002060"/>
              <w:bottom w:val="single" w:sz="24" w:space="0" w:color="002060"/>
              <w:right w:val="single" w:sz="18" w:space="0" w:color="002060"/>
            </w:tcBorders>
            <w:shd w:val="clear" w:color="auto" w:fill="E2EFD9" w:themeFill="accent6" w:themeFillTint="33"/>
          </w:tcPr>
          <w:p w14:paraId="48B3245E" w14:textId="337AC54A" w:rsidR="009B4339" w:rsidRPr="000A41DE" w:rsidRDefault="009B4339" w:rsidP="006C66F9">
            <w:pPr>
              <w:jc w:val="center"/>
            </w:pPr>
            <w:r w:rsidRPr="000A41DE">
              <w:t>11.3</w:t>
            </w:r>
          </w:p>
        </w:tc>
      </w:tr>
    </w:tbl>
    <w:p w14:paraId="5E4A56A0" w14:textId="318642C8" w:rsidR="006C66F9" w:rsidRPr="00916771" w:rsidRDefault="009B4339" w:rsidP="006C66F9">
      <w:pPr>
        <w:spacing w:after="240"/>
        <w:rPr>
          <w:szCs w:val="24"/>
        </w:rPr>
      </w:pPr>
      <w:r>
        <w:rPr>
          <w:noProof/>
        </w:rPr>
        <mc:AlternateContent>
          <mc:Choice Requires="wps">
            <w:drawing>
              <wp:anchor distT="45720" distB="45720" distL="114300" distR="114300" simplePos="0" relativeHeight="251624448" behindDoc="0" locked="0" layoutInCell="1" allowOverlap="1" wp14:anchorId="3F0E0E90" wp14:editId="06592317">
                <wp:simplePos x="0" y="0"/>
                <wp:positionH relativeFrom="margin">
                  <wp:posOffset>1663700</wp:posOffset>
                </wp:positionH>
                <wp:positionV relativeFrom="paragraph">
                  <wp:posOffset>46990</wp:posOffset>
                </wp:positionV>
                <wp:extent cx="4033520" cy="1404620"/>
                <wp:effectExtent l="0" t="0" r="5080" b="0"/>
                <wp:wrapSquare wrapText="bothSides"/>
                <wp:docPr id="1166924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3520" cy="1404620"/>
                        </a:xfrm>
                        <a:prstGeom prst="rect">
                          <a:avLst/>
                        </a:prstGeom>
                        <a:solidFill>
                          <a:srgbClr val="FFFFFF"/>
                        </a:solidFill>
                        <a:ln w="9525">
                          <a:noFill/>
                          <a:miter lim="800000"/>
                          <a:headEnd/>
                          <a:tailEnd/>
                        </a:ln>
                      </wps:spPr>
                      <wps:txbx>
                        <w:txbxContent>
                          <w:p w14:paraId="68FF159A" w14:textId="77777777" w:rsidR="009B4339" w:rsidRPr="00573D72" w:rsidRDefault="009B4339" w:rsidP="009B4339">
                            <w:pPr>
                              <w:rPr>
                                <w:sz w:val="20"/>
                                <w:szCs w:val="20"/>
                              </w:rPr>
                            </w:pPr>
                            <w:r w:rsidRPr="00573D72">
                              <w:rPr>
                                <w:sz w:val="20"/>
                                <w:szCs w:val="20"/>
                              </w:rPr>
                              <w:t xml:space="preserve">Source: National Child Measurement Programme.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E0E90" id="_x0000_s1029" type="#_x0000_t202" style="position:absolute;margin-left:131pt;margin-top:3.7pt;width:317.6pt;height:110.6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" stroked="f">
                <v:textbox style="mso-fit-shape-to-text:t">
                  <w:txbxContent>
                    <w:p w14:paraId="68FF159A" w14:textId="77777777" w:rsidR="009B4339" w:rsidRPr="00573D72" w:rsidRDefault="009B4339" w:rsidP="009B4339">
                      <w:pPr>
                        <w:rPr>
                          <w:sz w:val="20"/>
                          <w:szCs w:val="20"/>
                        </w:rPr>
                      </w:pPr>
                      <w:r w:rsidRPr="00573D72">
                        <w:rPr>
                          <w:sz w:val="20"/>
                          <w:szCs w:val="20"/>
                        </w:rPr>
                        <w:t xml:space="preserve">Source: National Child Measurement Programme. </w:t>
                      </w:r>
                    </w:p>
                  </w:txbxContent>
                </v:textbox>
                <w10:wrap type="square" anchorx="margin"/>
              </v:shape>
            </w:pict>
          </mc:Fallback>
        </mc:AlternateContent>
      </w:r>
      <w:r w:rsidR="000D6424">
        <w:rPr>
          <w:rFonts w:cs="Poppins"/>
          <w:kern w:val="0"/>
          <w:szCs w:val="24"/>
        </w:rPr>
        <w:br w:type="page"/>
      </w:r>
      <w:r w:rsidR="006C66F9">
        <w:rPr>
          <w:szCs w:val="24"/>
        </w:rPr>
        <w:lastRenderedPageBreak/>
        <w:t xml:space="preserve"> </w:t>
      </w:r>
    </w:p>
    <w:p w14:paraId="36398B41" w14:textId="736B621B" w:rsidR="006C66F9" w:rsidRPr="00913EB9" w:rsidRDefault="00506D0E" w:rsidP="004903FF">
      <w:pPr>
        <w:spacing w:after="240"/>
        <w:rPr>
          <w:rFonts w:cs="Poppins"/>
          <w:kern w:val="0"/>
          <w:szCs w:val="24"/>
        </w:rPr>
        <w:sectPr w:rsidR="006C66F9" w:rsidRPr="00913EB9" w:rsidSect="008E2B84">
          <w:headerReference w:type="default" r:id="rId16"/>
          <w:footerReference w:type="default" r:id="rId17"/>
          <w:headerReference w:type="first" r:id="rId18"/>
          <w:footerReference w:type="first" r:id="rId19"/>
          <w:pgSz w:w="11906" w:h="16838"/>
          <w:pgMar w:top="1440" w:right="1440" w:bottom="1440" w:left="1440" w:header="708" w:footer="708" w:gutter="0"/>
          <w:pgNumType w:start="1"/>
          <w:cols w:space="708"/>
          <w:titlePg/>
          <w:docGrid w:linePitch="360"/>
        </w:sectPr>
      </w:pPr>
      <w:r w:rsidRPr="00506D0E">
        <w:rPr>
          <w:rFonts w:cs="Poppins"/>
          <w:b/>
          <w:bCs/>
          <w:kern w:val="0"/>
          <w:szCs w:val="24"/>
        </w:rPr>
        <w:t xml:space="preserve">Map 2: Prevalence of obesity among children in Year 6 by </w:t>
      </w:r>
      <w:r w:rsidR="006C66F9">
        <w:rPr>
          <w:rFonts w:eastAsiaTheme="majorEastAsia" w:cs="Poppins"/>
          <w:b/>
          <w:bCs/>
          <w:noProof/>
          <w:szCs w:val="24"/>
        </w:rPr>
        <w:drawing>
          <wp:anchor distT="0" distB="0" distL="114300" distR="114300" simplePos="0" relativeHeight="251727872" behindDoc="0" locked="0" layoutInCell="1" allowOverlap="1" wp14:anchorId="22E108D3" wp14:editId="106166A5">
            <wp:simplePos x="0" y="0"/>
            <wp:positionH relativeFrom="margin">
              <wp:align>left</wp:align>
            </wp:positionH>
            <wp:positionV relativeFrom="paragraph">
              <wp:posOffset>1528445</wp:posOffset>
            </wp:positionV>
            <wp:extent cx="7977505" cy="5641340"/>
            <wp:effectExtent l="6033" t="0" r="0" b="0"/>
            <wp:wrapSquare wrapText="bothSides"/>
            <wp:docPr id="174751530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15306" name="Picture 1" descr="A map of a cit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977505" cy="5641340"/>
                    </a:xfrm>
                    <a:prstGeom prst="rect">
                      <a:avLst/>
                    </a:prstGeom>
                  </pic:spPr>
                </pic:pic>
              </a:graphicData>
            </a:graphic>
            <wp14:sizeRelH relativeFrom="margin">
              <wp14:pctWidth>0</wp14:pctWidth>
            </wp14:sizeRelH>
            <wp14:sizeRelV relativeFrom="margin">
              <wp14:pctHeight>0</wp14:pctHeight>
            </wp14:sizeRelV>
          </wp:anchor>
        </w:drawing>
      </w:r>
      <w:r>
        <w:rPr>
          <w:rFonts w:cs="Poppins"/>
          <w:b/>
          <w:bCs/>
          <w:kern w:val="0"/>
          <w:szCs w:val="24"/>
        </w:rPr>
        <w:t>W</w:t>
      </w:r>
      <w:r w:rsidR="00913EB9">
        <w:rPr>
          <w:rFonts w:cs="Poppins"/>
          <w:b/>
          <w:bCs/>
          <w:kern w:val="0"/>
          <w:szCs w:val="24"/>
        </w:rPr>
        <w:t>ard</w:t>
      </w:r>
    </w:p>
    <w:p w14:paraId="55C2821C" w14:textId="0AC51A6C" w:rsidR="00EA444F" w:rsidRDefault="00EA444F" w:rsidP="00241953">
      <w:pPr>
        <w:pStyle w:val="Heading2"/>
        <w:numPr>
          <w:ilvl w:val="0"/>
          <w:numId w:val="12"/>
        </w:numPr>
        <w:spacing w:after="240"/>
        <w:rPr>
          <w:rFonts w:ascii="Poppins" w:hAnsi="Poppins" w:cs="Poppins"/>
          <w:b/>
          <w:bCs/>
          <w:color w:val="auto"/>
          <w:sz w:val="28"/>
          <w:szCs w:val="28"/>
        </w:rPr>
      </w:pPr>
      <w:bookmarkStart w:id="20" w:name="_Toc178320196"/>
      <w:bookmarkStart w:id="21" w:name="_Toc180660527"/>
      <w:bookmarkStart w:id="22" w:name="_Toc180762275"/>
      <w:r w:rsidRPr="009024C1">
        <w:rPr>
          <w:rFonts w:ascii="Poppins" w:hAnsi="Poppins" w:cs="Poppins"/>
          <w:b/>
          <w:bCs/>
          <w:color w:val="auto"/>
          <w:sz w:val="28"/>
          <w:szCs w:val="28"/>
        </w:rPr>
        <w:lastRenderedPageBreak/>
        <w:t xml:space="preserve">Adult </w:t>
      </w:r>
      <w:r w:rsidR="002204D1">
        <w:rPr>
          <w:rFonts w:ascii="Poppins" w:hAnsi="Poppins" w:cs="Poppins"/>
          <w:b/>
          <w:bCs/>
          <w:color w:val="auto"/>
          <w:sz w:val="28"/>
          <w:szCs w:val="28"/>
        </w:rPr>
        <w:t>O</w:t>
      </w:r>
      <w:r w:rsidRPr="009024C1">
        <w:rPr>
          <w:rFonts w:ascii="Poppins" w:hAnsi="Poppins" w:cs="Poppins"/>
          <w:b/>
          <w:bCs/>
          <w:color w:val="auto"/>
          <w:sz w:val="28"/>
          <w:szCs w:val="28"/>
        </w:rPr>
        <w:t xml:space="preserve">besity </w:t>
      </w:r>
      <w:r w:rsidR="002204D1">
        <w:rPr>
          <w:rFonts w:ascii="Poppins" w:hAnsi="Poppins" w:cs="Poppins"/>
          <w:b/>
          <w:bCs/>
          <w:color w:val="auto"/>
          <w:sz w:val="28"/>
          <w:szCs w:val="28"/>
        </w:rPr>
        <w:t>E</w:t>
      </w:r>
      <w:r w:rsidRPr="009024C1">
        <w:rPr>
          <w:rFonts w:ascii="Poppins" w:hAnsi="Poppins" w:cs="Poppins"/>
          <w:b/>
          <w:bCs/>
          <w:color w:val="auto"/>
          <w:sz w:val="28"/>
          <w:szCs w:val="28"/>
        </w:rPr>
        <w:t>vidence</w:t>
      </w:r>
      <w:bookmarkEnd w:id="20"/>
      <w:bookmarkEnd w:id="21"/>
      <w:bookmarkEnd w:id="22"/>
      <w:r w:rsidRPr="009024C1">
        <w:rPr>
          <w:rFonts w:ascii="Poppins" w:hAnsi="Poppins" w:cs="Poppins"/>
          <w:b/>
          <w:bCs/>
          <w:color w:val="auto"/>
          <w:sz w:val="28"/>
          <w:szCs w:val="28"/>
        </w:rPr>
        <w:t xml:space="preserve"> </w:t>
      </w:r>
    </w:p>
    <w:p w14:paraId="3AA4C886" w14:textId="16B06D1E" w:rsidR="006136EF" w:rsidRDefault="00A04E89" w:rsidP="004903FF">
      <w:pPr>
        <w:spacing w:after="240"/>
        <w:rPr>
          <w:szCs w:val="24"/>
        </w:rPr>
      </w:pPr>
      <w:r w:rsidRPr="009024C1">
        <w:rPr>
          <w:szCs w:val="24"/>
        </w:rPr>
        <w:t xml:space="preserve">The level of adult obesity and excess weight in North Tyneside is slightly lower than the North East </w:t>
      </w:r>
      <w:r w:rsidR="00BB6AEF" w:rsidRPr="009024C1">
        <w:rPr>
          <w:szCs w:val="24"/>
        </w:rPr>
        <w:t>average but</w:t>
      </w:r>
      <w:r w:rsidRPr="009024C1">
        <w:rPr>
          <w:szCs w:val="24"/>
        </w:rPr>
        <w:t xml:space="preserve"> is higher than the England average</w:t>
      </w:r>
      <w:r w:rsidR="000849A1">
        <w:rPr>
          <w:szCs w:val="24"/>
        </w:rPr>
        <w:t xml:space="preserve">. </w:t>
      </w:r>
      <w:r w:rsidR="00F04CC9" w:rsidRPr="009024C1">
        <w:rPr>
          <w:szCs w:val="24"/>
        </w:rPr>
        <w:t>Please r</w:t>
      </w:r>
      <w:r w:rsidRPr="009024C1">
        <w:rPr>
          <w:szCs w:val="24"/>
        </w:rPr>
        <w:t xml:space="preserve">efer to </w:t>
      </w:r>
      <w:r w:rsidR="00E371DA">
        <w:rPr>
          <w:szCs w:val="24"/>
        </w:rPr>
        <w:t xml:space="preserve">Figure 8 </w:t>
      </w:r>
      <w:r w:rsidR="00656EBB">
        <w:rPr>
          <w:szCs w:val="24"/>
        </w:rPr>
        <w:t>below:</w:t>
      </w:r>
      <w:bookmarkStart w:id="23" w:name="_Toc178320197"/>
    </w:p>
    <w:p w14:paraId="2BAEC9C4" w14:textId="329C9FF0" w:rsidR="00F70959" w:rsidRPr="00913EB9" w:rsidRDefault="0023413A" w:rsidP="004903FF">
      <w:pPr>
        <w:spacing w:after="240"/>
        <w:rPr>
          <w:szCs w:val="24"/>
        </w:rPr>
      </w:pPr>
      <w:r>
        <w:rPr>
          <w:noProof/>
        </w:rPr>
        <w:drawing>
          <wp:anchor distT="0" distB="0" distL="114300" distR="114300" simplePos="0" relativeHeight="251638784" behindDoc="0" locked="0" layoutInCell="1" allowOverlap="1" wp14:anchorId="5AF297D2" wp14:editId="399908D0">
            <wp:simplePos x="0" y="0"/>
            <wp:positionH relativeFrom="margin">
              <wp:posOffset>-20320</wp:posOffset>
            </wp:positionH>
            <wp:positionV relativeFrom="paragraph">
              <wp:posOffset>1440815</wp:posOffset>
            </wp:positionV>
            <wp:extent cx="5071745" cy="3639820"/>
            <wp:effectExtent l="0" t="0" r="14605" b="5080"/>
            <wp:wrapTopAndBottom/>
            <wp:docPr id="1139940235" name="Chart 1">
              <a:extLst xmlns:a="http://schemas.openxmlformats.org/drawingml/2006/main">
                <a:ext uri="{FF2B5EF4-FFF2-40B4-BE49-F238E27FC236}">
                  <a16:creationId xmlns:a16="http://schemas.microsoft.com/office/drawing/2014/main" id="{B304D742-CFC1-CA03-08BC-B2B33D667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F70959">
        <w:rPr>
          <w:b/>
          <w:bCs/>
          <w:szCs w:val="24"/>
        </w:rPr>
        <w:t>Figure</w:t>
      </w:r>
      <w:r w:rsidR="00F70959" w:rsidRPr="00656EBB">
        <w:rPr>
          <w:b/>
          <w:bCs/>
          <w:szCs w:val="24"/>
        </w:rPr>
        <w:t xml:space="preserve"> </w:t>
      </w:r>
      <w:r w:rsidR="00F70959">
        <w:rPr>
          <w:b/>
          <w:bCs/>
          <w:szCs w:val="24"/>
        </w:rPr>
        <w:t xml:space="preserve">8: </w:t>
      </w:r>
      <w:r w:rsidR="00F70959" w:rsidRPr="00656EBB">
        <w:rPr>
          <w:b/>
          <w:bCs/>
          <w:szCs w:val="24"/>
        </w:rPr>
        <w:t>Prevalence excess weight and obesity in Adults (2022/23):</w:t>
      </w:r>
    </w:p>
    <w:tbl>
      <w:tblPr>
        <w:tblStyle w:val="TableGrid"/>
        <w:tblpPr w:leftFromText="181" w:rightFromText="181" w:vertAnchor="text" w:horzAnchor="margin" w:tblpY="1"/>
        <w:tblOverlap w:val="never"/>
        <w:tblW w:w="0" w:type="auto"/>
        <w:tblBorders>
          <w:top w:val="single" w:sz="18" w:space="0" w:color="002060"/>
          <w:left w:val="single" w:sz="18" w:space="0" w:color="002060"/>
          <w:bottom w:val="single" w:sz="18" w:space="0" w:color="002060"/>
          <w:right w:val="single" w:sz="18" w:space="0" w:color="002060"/>
        </w:tblBorders>
        <w:tblLook w:val="04A0" w:firstRow="1" w:lastRow="0" w:firstColumn="1" w:lastColumn="0" w:noHBand="0" w:noVBand="1"/>
      </w:tblPr>
      <w:tblGrid>
        <w:gridCol w:w="2812"/>
        <w:gridCol w:w="2268"/>
        <w:gridCol w:w="2410"/>
        <w:gridCol w:w="1490"/>
      </w:tblGrid>
      <w:tr w:rsidR="006F5044" w14:paraId="2E10314B" w14:textId="77777777" w:rsidTr="00913EB9">
        <w:trPr>
          <w:trHeight w:val="557"/>
        </w:trPr>
        <w:tc>
          <w:tcPr>
            <w:tcW w:w="2812" w:type="dxa"/>
            <w:tcBorders>
              <w:bottom w:val="single" w:sz="4" w:space="0" w:color="auto"/>
            </w:tcBorders>
            <w:shd w:val="clear" w:color="auto" w:fill="002060"/>
          </w:tcPr>
          <w:p w14:paraId="0B272BAB" w14:textId="77777777" w:rsidR="006F5044" w:rsidRPr="007747AD" w:rsidRDefault="006F5044" w:rsidP="00913EB9">
            <w:pPr>
              <w:spacing w:line="240" w:lineRule="auto"/>
              <w:jc w:val="center"/>
              <w:rPr>
                <w:b/>
                <w:bCs/>
              </w:rPr>
            </w:pPr>
            <w:r w:rsidRPr="007747AD">
              <w:rPr>
                <w:b/>
                <w:bCs/>
              </w:rPr>
              <w:t xml:space="preserve">Indicator </w:t>
            </w:r>
          </w:p>
        </w:tc>
        <w:tc>
          <w:tcPr>
            <w:tcW w:w="2268" w:type="dxa"/>
            <w:tcBorders>
              <w:bottom w:val="single" w:sz="4" w:space="0" w:color="auto"/>
            </w:tcBorders>
            <w:shd w:val="clear" w:color="auto" w:fill="002060"/>
          </w:tcPr>
          <w:p w14:paraId="78C2F8BD" w14:textId="12E6037F" w:rsidR="006F5044" w:rsidRPr="007747AD" w:rsidRDefault="006F5044" w:rsidP="00913EB9">
            <w:pPr>
              <w:spacing w:line="240" w:lineRule="auto"/>
              <w:jc w:val="center"/>
              <w:rPr>
                <w:b/>
                <w:bCs/>
              </w:rPr>
            </w:pPr>
            <w:r w:rsidRPr="007747AD">
              <w:rPr>
                <w:b/>
                <w:bCs/>
              </w:rPr>
              <w:t xml:space="preserve">North Tyneside </w:t>
            </w:r>
          </w:p>
        </w:tc>
        <w:tc>
          <w:tcPr>
            <w:tcW w:w="2410" w:type="dxa"/>
            <w:tcBorders>
              <w:bottom w:val="single" w:sz="4" w:space="0" w:color="auto"/>
            </w:tcBorders>
            <w:shd w:val="clear" w:color="auto" w:fill="002060"/>
          </w:tcPr>
          <w:p w14:paraId="6ACD5EA6" w14:textId="77777777" w:rsidR="006F5044" w:rsidRPr="007747AD" w:rsidRDefault="006F5044" w:rsidP="00913EB9">
            <w:pPr>
              <w:spacing w:line="240" w:lineRule="auto"/>
              <w:jc w:val="center"/>
              <w:rPr>
                <w:b/>
                <w:bCs/>
              </w:rPr>
            </w:pPr>
            <w:r w:rsidRPr="007747AD">
              <w:rPr>
                <w:b/>
                <w:bCs/>
              </w:rPr>
              <w:t xml:space="preserve">North East Region </w:t>
            </w:r>
          </w:p>
        </w:tc>
        <w:tc>
          <w:tcPr>
            <w:tcW w:w="1490" w:type="dxa"/>
            <w:tcBorders>
              <w:bottom w:val="single" w:sz="4" w:space="0" w:color="auto"/>
            </w:tcBorders>
            <w:shd w:val="clear" w:color="auto" w:fill="002060"/>
          </w:tcPr>
          <w:p w14:paraId="63B4E709" w14:textId="77777777" w:rsidR="006F5044" w:rsidRPr="007747AD" w:rsidRDefault="006F5044" w:rsidP="00913EB9">
            <w:pPr>
              <w:spacing w:line="240" w:lineRule="auto"/>
              <w:jc w:val="center"/>
              <w:rPr>
                <w:b/>
                <w:bCs/>
              </w:rPr>
            </w:pPr>
            <w:r w:rsidRPr="007747AD">
              <w:rPr>
                <w:b/>
                <w:bCs/>
              </w:rPr>
              <w:t xml:space="preserve">England </w:t>
            </w:r>
          </w:p>
        </w:tc>
      </w:tr>
      <w:tr w:rsidR="006F5044" w14:paraId="51AF4CF9" w14:textId="77777777" w:rsidTr="00913EB9">
        <w:trPr>
          <w:trHeight w:val="370"/>
        </w:trPr>
        <w:tc>
          <w:tcPr>
            <w:tcW w:w="2812" w:type="dxa"/>
            <w:tcBorders>
              <w:top w:val="single" w:sz="4" w:space="0" w:color="auto"/>
              <w:bottom w:val="single" w:sz="12" w:space="0" w:color="002060"/>
              <w:right w:val="single" w:sz="12" w:space="0" w:color="002060"/>
            </w:tcBorders>
            <w:shd w:val="clear" w:color="auto" w:fill="D9E2F3" w:themeFill="accent1" w:themeFillTint="33"/>
          </w:tcPr>
          <w:p w14:paraId="3E3FC8BD" w14:textId="77777777" w:rsidR="006F5044" w:rsidRPr="003141B1" w:rsidRDefault="006F5044" w:rsidP="00913EB9">
            <w:pPr>
              <w:spacing w:line="240" w:lineRule="auto"/>
              <w:rPr>
                <w:b/>
                <w:bCs/>
              </w:rPr>
            </w:pPr>
            <w:r w:rsidRPr="003141B1">
              <w:rPr>
                <w:b/>
                <w:bCs/>
              </w:rPr>
              <w:t xml:space="preserve">Adult obesity </w:t>
            </w:r>
          </w:p>
        </w:tc>
        <w:tc>
          <w:tcPr>
            <w:tcW w:w="2268" w:type="dxa"/>
            <w:tcBorders>
              <w:top w:val="single" w:sz="4" w:space="0" w:color="auto"/>
              <w:left w:val="single" w:sz="12" w:space="0" w:color="002060"/>
              <w:bottom w:val="single" w:sz="12" w:space="0" w:color="002060"/>
              <w:right w:val="single" w:sz="12" w:space="0" w:color="002060"/>
            </w:tcBorders>
            <w:shd w:val="clear" w:color="auto" w:fill="D9E2F3" w:themeFill="accent1" w:themeFillTint="33"/>
          </w:tcPr>
          <w:p w14:paraId="3004C0DF" w14:textId="77777777" w:rsidR="006F5044" w:rsidRPr="00274798" w:rsidRDefault="006F5044" w:rsidP="00913EB9">
            <w:pPr>
              <w:spacing w:line="240" w:lineRule="auto"/>
              <w:jc w:val="center"/>
            </w:pPr>
            <w:r w:rsidRPr="00274798">
              <w:t>29.8%</w:t>
            </w:r>
          </w:p>
        </w:tc>
        <w:tc>
          <w:tcPr>
            <w:tcW w:w="2410" w:type="dxa"/>
            <w:tcBorders>
              <w:top w:val="single" w:sz="4" w:space="0" w:color="auto"/>
              <w:left w:val="single" w:sz="12" w:space="0" w:color="002060"/>
              <w:bottom w:val="single" w:sz="12" w:space="0" w:color="002060"/>
              <w:right w:val="single" w:sz="12" w:space="0" w:color="002060"/>
            </w:tcBorders>
            <w:shd w:val="clear" w:color="auto" w:fill="D9E2F3" w:themeFill="accent1" w:themeFillTint="33"/>
          </w:tcPr>
          <w:p w14:paraId="4167E60E" w14:textId="77777777" w:rsidR="006F5044" w:rsidRPr="00274798" w:rsidRDefault="006F5044" w:rsidP="00913EB9">
            <w:pPr>
              <w:spacing w:line="240" w:lineRule="auto"/>
              <w:jc w:val="center"/>
            </w:pPr>
            <w:r w:rsidRPr="00274798">
              <w:t>32.2%</w:t>
            </w:r>
          </w:p>
        </w:tc>
        <w:tc>
          <w:tcPr>
            <w:tcW w:w="1490" w:type="dxa"/>
            <w:tcBorders>
              <w:top w:val="single" w:sz="4" w:space="0" w:color="auto"/>
              <w:left w:val="single" w:sz="12" w:space="0" w:color="002060"/>
              <w:bottom w:val="single" w:sz="12" w:space="0" w:color="002060"/>
            </w:tcBorders>
            <w:shd w:val="clear" w:color="auto" w:fill="D9E2F3" w:themeFill="accent1" w:themeFillTint="33"/>
          </w:tcPr>
          <w:p w14:paraId="49F18605" w14:textId="77777777" w:rsidR="006F5044" w:rsidRPr="00274798" w:rsidRDefault="006F5044" w:rsidP="00913EB9">
            <w:pPr>
              <w:spacing w:line="240" w:lineRule="auto"/>
              <w:jc w:val="center"/>
            </w:pPr>
            <w:r w:rsidRPr="00274798">
              <w:t>26.2%</w:t>
            </w:r>
          </w:p>
        </w:tc>
      </w:tr>
      <w:tr w:rsidR="006F5044" w14:paraId="25CD39E5" w14:textId="77777777" w:rsidTr="00913EB9">
        <w:trPr>
          <w:trHeight w:val="410"/>
        </w:trPr>
        <w:tc>
          <w:tcPr>
            <w:tcW w:w="2812" w:type="dxa"/>
            <w:tcBorders>
              <w:top w:val="single" w:sz="12" w:space="0" w:color="002060"/>
              <w:bottom w:val="single" w:sz="18" w:space="0" w:color="002060"/>
              <w:right w:val="single" w:sz="12" w:space="0" w:color="002060"/>
            </w:tcBorders>
            <w:shd w:val="clear" w:color="auto" w:fill="D9E2F3" w:themeFill="accent1" w:themeFillTint="33"/>
          </w:tcPr>
          <w:p w14:paraId="4D28E085" w14:textId="77777777" w:rsidR="006F5044" w:rsidRPr="003141B1" w:rsidRDefault="006F5044" w:rsidP="00913EB9">
            <w:pPr>
              <w:spacing w:line="240" w:lineRule="auto"/>
              <w:rPr>
                <w:b/>
                <w:bCs/>
              </w:rPr>
            </w:pPr>
            <w:r w:rsidRPr="003141B1">
              <w:rPr>
                <w:b/>
                <w:bCs/>
              </w:rPr>
              <w:t xml:space="preserve">Adult excess weight </w:t>
            </w:r>
          </w:p>
        </w:tc>
        <w:tc>
          <w:tcPr>
            <w:tcW w:w="2268" w:type="dxa"/>
            <w:tcBorders>
              <w:top w:val="single" w:sz="12" w:space="0" w:color="002060"/>
              <w:left w:val="single" w:sz="12" w:space="0" w:color="002060"/>
              <w:bottom w:val="single" w:sz="18" w:space="0" w:color="002060"/>
              <w:right w:val="single" w:sz="12" w:space="0" w:color="002060"/>
            </w:tcBorders>
            <w:shd w:val="clear" w:color="auto" w:fill="D9E2F3" w:themeFill="accent1" w:themeFillTint="33"/>
          </w:tcPr>
          <w:p w14:paraId="343A3605" w14:textId="2269D993" w:rsidR="006F5044" w:rsidRPr="00274798" w:rsidRDefault="006F5044" w:rsidP="00913EB9">
            <w:pPr>
              <w:spacing w:line="240" w:lineRule="auto"/>
              <w:jc w:val="center"/>
            </w:pPr>
            <w:r w:rsidRPr="00274798">
              <w:t>63.2%</w:t>
            </w:r>
          </w:p>
        </w:tc>
        <w:tc>
          <w:tcPr>
            <w:tcW w:w="2410" w:type="dxa"/>
            <w:tcBorders>
              <w:top w:val="single" w:sz="12" w:space="0" w:color="002060"/>
              <w:left w:val="single" w:sz="12" w:space="0" w:color="002060"/>
              <w:bottom w:val="single" w:sz="18" w:space="0" w:color="002060"/>
              <w:right w:val="single" w:sz="12" w:space="0" w:color="002060"/>
            </w:tcBorders>
            <w:shd w:val="clear" w:color="auto" w:fill="D9E2F3" w:themeFill="accent1" w:themeFillTint="33"/>
          </w:tcPr>
          <w:p w14:paraId="38372047" w14:textId="77777777" w:rsidR="006F5044" w:rsidRPr="00274798" w:rsidRDefault="006F5044" w:rsidP="00913EB9">
            <w:pPr>
              <w:spacing w:line="240" w:lineRule="auto"/>
              <w:jc w:val="center"/>
            </w:pPr>
            <w:r w:rsidRPr="00274798">
              <w:t>70.2%</w:t>
            </w:r>
          </w:p>
        </w:tc>
        <w:tc>
          <w:tcPr>
            <w:tcW w:w="1490" w:type="dxa"/>
            <w:tcBorders>
              <w:top w:val="single" w:sz="12" w:space="0" w:color="002060"/>
              <w:left w:val="single" w:sz="12" w:space="0" w:color="002060"/>
              <w:bottom w:val="single" w:sz="18" w:space="0" w:color="002060"/>
            </w:tcBorders>
            <w:shd w:val="clear" w:color="auto" w:fill="D9E2F3" w:themeFill="accent1" w:themeFillTint="33"/>
          </w:tcPr>
          <w:p w14:paraId="35DE220E" w14:textId="77777777" w:rsidR="006F5044" w:rsidRPr="00274798" w:rsidRDefault="006F5044" w:rsidP="00913EB9">
            <w:pPr>
              <w:spacing w:line="240" w:lineRule="auto"/>
              <w:jc w:val="center"/>
            </w:pPr>
            <w:r w:rsidRPr="00274798">
              <w:t>64%</w:t>
            </w:r>
          </w:p>
        </w:tc>
      </w:tr>
    </w:tbl>
    <w:p w14:paraId="0D065D93" w14:textId="3DB09035" w:rsidR="00F70959" w:rsidRPr="00656EBB" w:rsidRDefault="0035459C" w:rsidP="004903FF">
      <w:pPr>
        <w:spacing w:after="240"/>
        <w:rPr>
          <w:b/>
          <w:bCs/>
          <w:szCs w:val="24"/>
        </w:rPr>
      </w:pPr>
      <w:r w:rsidRPr="00F70959">
        <w:rPr>
          <w:rFonts w:cs="Poppins"/>
          <w:b/>
          <w:bCs/>
          <w:noProof/>
        </w:rPr>
        <mc:AlternateContent>
          <mc:Choice Requires="wps">
            <w:drawing>
              <wp:anchor distT="45720" distB="45720" distL="114300" distR="114300" simplePos="0" relativeHeight="251640832" behindDoc="0" locked="0" layoutInCell="1" allowOverlap="1" wp14:anchorId="4B5C4551" wp14:editId="20D7E50E">
                <wp:simplePos x="0" y="0"/>
                <wp:positionH relativeFrom="margin">
                  <wp:posOffset>1739265</wp:posOffset>
                </wp:positionH>
                <wp:positionV relativeFrom="paragraph">
                  <wp:posOffset>4711065</wp:posOffset>
                </wp:positionV>
                <wp:extent cx="3357880" cy="355600"/>
                <wp:effectExtent l="0" t="0" r="0" b="6350"/>
                <wp:wrapSquare wrapText="bothSides"/>
                <wp:docPr id="2010823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355600"/>
                        </a:xfrm>
                        <a:prstGeom prst="rect">
                          <a:avLst/>
                        </a:prstGeom>
                        <a:solidFill>
                          <a:srgbClr val="FFFFFF"/>
                        </a:solidFill>
                        <a:ln w="9525">
                          <a:noFill/>
                          <a:miter lim="800000"/>
                          <a:headEnd/>
                          <a:tailEnd/>
                        </a:ln>
                      </wps:spPr>
                      <wps:txbx>
                        <w:txbxContent>
                          <w:p w14:paraId="0005429A" w14:textId="77777777" w:rsidR="00656EBB" w:rsidRPr="009574B3" w:rsidRDefault="00656EBB" w:rsidP="00656EBB">
                            <w:pPr>
                              <w:rPr>
                                <w:sz w:val="20"/>
                                <w:szCs w:val="20"/>
                              </w:rPr>
                            </w:pPr>
                            <w:r w:rsidRPr="009574B3">
                              <w:rPr>
                                <w:sz w:val="20"/>
                                <w:szCs w:val="20"/>
                              </w:rPr>
                              <w:t>Source: Department of Health and Social Care</w:t>
                            </w:r>
                            <w:r>
                              <w:rPr>
                                <w:sz w:val="20"/>
                                <w:szCs w:val="20"/>
                              </w:rPr>
                              <w:t>.</w:t>
                            </w:r>
                          </w:p>
                          <w:p w14:paraId="64D8B8F4" w14:textId="77777777" w:rsidR="00656EBB" w:rsidRPr="006250E7" w:rsidRDefault="00656EBB" w:rsidP="00656EB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4551" id="_x0000_s1030" type="#_x0000_t202" style="position:absolute;margin-left:136.95pt;margin-top:370.95pt;width:264.4pt;height:28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eO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" stroked="f">
                <v:textbox>
                  <w:txbxContent>
                    <w:p w14:paraId="0005429A" w14:textId="77777777" w:rsidR="00656EBB" w:rsidRPr="009574B3" w:rsidRDefault="00656EBB" w:rsidP="00656EBB">
                      <w:pPr>
                        <w:rPr>
                          <w:sz w:val="20"/>
                          <w:szCs w:val="20"/>
                        </w:rPr>
                      </w:pPr>
                      <w:r w:rsidRPr="009574B3">
                        <w:rPr>
                          <w:sz w:val="20"/>
                          <w:szCs w:val="20"/>
                        </w:rPr>
                        <w:t>Source: Department of Health and Social Care</w:t>
                      </w:r>
                      <w:r>
                        <w:rPr>
                          <w:sz w:val="20"/>
                          <w:szCs w:val="20"/>
                        </w:rPr>
                        <w:t>.</w:t>
                      </w:r>
                    </w:p>
                    <w:p w14:paraId="64D8B8F4" w14:textId="77777777" w:rsidR="00656EBB" w:rsidRPr="006250E7" w:rsidRDefault="00656EBB" w:rsidP="00656EBB">
                      <w:pPr>
                        <w:rPr>
                          <w:sz w:val="18"/>
                          <w:szCs w:val="18"/>
                        </w:rPr>
                      </w:pPr>
                    </w:p>
                  </w:txbxContent>
                </v:textbox>
                <w10:wrap type="square" anchorx="margin"/>
              </v:shape>
            </w:pict>
          </mc:Fallback>
        </mc:AlternateContent>
      </w:r>
    </w:p>
    <w:p w14:paraId="6901E154" w14:textId="14184052" w:rsidR="000901D6" w:rsidRPr="00F70959" w:rsidRDefault="00DD0590" w:rsidP="00F70959">
      <w:pPr>
        <w:pStyle w:val="Heading2"/>
        <w:numPr>
          <w:ilvl w:val="0"/>
          <w:numId w:val="12"/>
        </w:numPr>
        <w:rPr>
          <w:rFonts w:ascii="Poppins" w:hAnsi="Poppins" w:cs="Poppins"/>
          <w:b/>
          <w:bCs/>
          <w:color w:val="auto"/>
        </w:rPr>
      </w:pPr>
      <w:bookmarkStart w:id="24" w:name="_Toc180660528"/>
      <w:bookmarkStart w:id="25" w:name="_Toc180762276"/>
      <w:r w:rsidRPr="00F70959">
        <w:rPr>
          <w:rFonts w:ascii="Poppins" w:hAnsi="Poppins" w:cs="Poppins"/>
          <w:b/>
          <w:bCs/>
          <w:color w:val="auto"/>
        </w:rPr>
        <w:lastRenderedPageBreak/>
        <w:t xml:space="preserve">Prevalence and </w:t>
      </w:r>
      <w:r w:rsidR="002204D1" w:rsidRPr="00F70959">
        <w:rPr>
          <w:rFonts w:ascii="Poppins" w:hAnsi="Poppins" w:cs="Poppins"/>
          <w:b/>
          <w:bCs/>
          <w:color w:val="auto"/>
        </w:rPr>
        <w:t>L</w:t>
      </w:r>
      <w:r w:rsidRPr="00F70959">
        <w:rPr>
          <w:rFonts w:ascii="Poppins" w:hAnsi="Poppins" w:cs="Poppins"/>
          <w:b/>
          <w:bCs/>
          <w:color w:val="auto"/>
        </w:rPr>
        <w:t xml:space="preserve">ocation of </w:t>
      </w:r>
      <w:r w:rsidR="002204D1" w:rsidRPr="00F70959">
        <w:rPr>
          <w:rFonts w:ascii="Poppins" w:hAnsi="Poppins" w:cs="Poppins"/>
          <w:b/>
          <w:bCs/>
          <w:color w:val="auto"/>
        </w:rPr>
        <w:t>H</w:t>
      </w:r>
      <w:r w:rsidRPr="00F70959">
        <w:rPr>
          <w:rFonts w:ascii="Poppins" w:hAnsi="Poppins" w:cs="Poppins"/>
          <w:b/>
          <w:bCs/>
          <w:color w:val="auto"/>
        </w:rPr>
        <w:t xml:space="preserve">ot </w:t>
      </w:r>
      <w:r w:rsidR="002204D1" w:rsidRPr="00F70959">
        <w:rPr>
          <w:rFonts w:ascii="Poppins" w:hAnsi="Poppins" w:cs="Poppins"/>
          <w:b/>
          <w:bCs/>
          <w:color w:val="auto"/>
        </w:rPr>
        <w:t>F</w:t>
      </w:r>
      <w:r w:rsidRPr="00F70959">
        <w:rPr>
          <w:rFonts w:ascii="Poppins" w:hAnsi="Poppins" w:cs="Poppins"/>
          <w:b/>
          <w:bCs/>
          <w:color w:val="auto"/>
        </w:rPr>
        <w:t xml:space="preserve">ood </w:t>
      </w:r>
      <w:r w:rsidR="002204D1" w:rsidRPr="00F70959">
        <w:rPr>
          <w:rFonts w:ascii="Poppins" w:hAnsi="Poppins" w:cs="Poppins"/>
          <w:b/>
          <w:bCs/>
          <w:color w:val="auto"/>
        </w:rPr>
        <w:t>T</w:t>
      </w:r>
      <w:r w:rsidRPr="00F70959">
        <w:rPr>
          <w:rFonts w:ascii="Poppins" w:hAnsi="Poppins" w:cs="Poppins"/>
          <w:b/>
          <w:bCs/>
          <w:color w:val="auto"/>
        </w:rPr>
        <w:t>akeaways</w:t>
      </w:r>
      <w:bookmarkEnd w:id="23"/>
      <w:bookmarkEnd w:id="24"/>
      <w:bookmarkEnd w:id="25"/>
      <w:r w:rsidRPr="00F70959">
        <w:rPr>
          <w:rFonts w:ascii="Poppins" w:hAnsi="Poppins" w:cs="Poppins"/>
          <w:b/>
          <w:bCs/>
          <w:color w:val="auto"/>
        </w:rPr>
        <w:t xml:space="preserve"> </w:t>
      </w:r>
    </w:p>
    <w:p w14:paraId="7F72D822" w14:textId="6BC598FD" w:rsidR="00DD0590" w:rsidRPr="00170CEC" w:rsidRDefault="00DD0590" w:rsidP="004903FF">
      <w:pPr>
        <w:autoSpaceDE w:val="0"/>
        <w:autoSpaceDN w:val="0"/>
        <w:adjustRightInd w:val="0"/>
        <w:spacing w:after="240"/>
        <w:rPr>
          <w:rFonts w:cs="Poppins"/>
          <w:kern w:val="0"/>
          <w:szCs w:val="24"/>
        </w:rPr>
      </w:pPr>
      <w:r w:rsidRPr="009024C1">
        <w:rPr>
          <w:rFonts w:cs="Poppins"/>
          <w:kern w:val="0"/>
          <w:szCs w:val="24"/>
        </w:rPr>
        <w:t>The National Obesity Observatory</w:t>
      </w:r>
      <w:r w:rsidRPr="009024C1">
        <w:rPr>
          <w:rStyle w:val="FootnoteReference"/>
          <w:rFonts w:cs="Poppins"/>
          <w:kern w:val="0"/>
          <w:szCs w:val="24"/>
        </w:rPr>
        <w:footnoteReference w:id="15"/>
      </w:r>
      <w:r w:rsidRPr="009024C1">
        <w:rPr>
          <w:rFonts w:cs="Poppins"/>
          <w:kern w:val="0"/>
          <w:sz w:val="16"/>
          <w:szCs w:val="16"/>
        </w:rPr>
        <w:t xml:space="preserve"> </w:t>
      </w:r>
      <w:r w:rsidRPr="009024C1">
        <w:rPr>
          <w:rFonts w:cs="Poppins"/>
          <w:kern w:val="0"/>
          <w:szCs w:val="24"/>
        </w:rPr>
        <w:t>has calculated the prevalence of hot food</w:t>
      </w:r>
      <w:r w:rsidRPr="009024C1">
        <w:rPr>
          <w:rFonts w:cs="Poppins"/>
          <w:szCs w:val="24"/>
        </w:rPr>
        <w:t xml:space="preserve"> take</w:t>
      </w:r>
      <w:r w:rsidR="007E0FB6" w:rsidRPr="009024C1">
        <w:rPr>
          <w:rFonts w:cs="Poppins"/>
          <w:szCs w:val="24"/>
        </w:rPr>
        <w:t>a</w:t>
      </w:r>
      <w:r w:rsidRPr="009024C1">
        <w:rPr>
          <w:rFonts w:cs="Poppins"/>
          <w:szCs w:val="24"/>
        </w:rPr>
        <w:t xml:space="preserve">ways nationally. The mean number of hot food takeaways in </w:t>
      </w:r>
      <w:r w:rsidR="00170CEC">
        <w:rPr>
          <w:rFonts w:cs="Poppins"/>
          <w:szCs w:val="24"/>
        </w:rPr>
        <w:t xml:space="preserve">England in </w:t>
      </w:r>
      <w:r w:rsidRPr="009024C1">
        <w:rPr>
          <w:rFonts w:cs="Poppins"/>
          <w:szCs w:val="24"/>
        </w:rPr>
        <w:t>2014 was 86</w:t>
      </w:r>
      <w:r w:rsidR="008D2BFD">
        <w:rPr>
          <w:rFonts w:cs="Poppins"/>
          <w:szCs w:val="24"/>
        </w:rPr>
        <w:t xml:space="preserve"> per </w:t>
      </w:r>
      <w:r w:rsidRPr="009024C1">
        <w:rPr>
          <w:rFonts w:cs="Poppins"/>
          <w:szCs w:val="24"/>
        </w:rPr>
        <w:t>100,000 population.</w:t>
      </w:r>
      <w:r w:rsidR="00A12178" w:rsidRPr="009024C1">
        <w:rPr>
          <w:rFonts w:cs="Poppins"/>
          <w:szCs w:val="24"/>
        </w:rPr>
        <w:t xml:space="preserve"> </w:t>
      </w:r>
      <w:r w:rsidR="00A12178" w:rsidRPr="009024C1">
        <w:rPr>
          <w:rFonts w:cs="Poppins"/>
          <w:kern w:val="0"/>
          <w:szCs w:val="24"/>
        </w:rPr>
        <w:t>Th</w:t>
      </w:r>
      <w:r w:rsidR="00170CEC">
        <w:rPr>
          <w:rFonts w:cs="Poppins"/>
          <w:kern w:val="0"/>
          <w:szCs w:val="24"/>
        </w:rPr>
        <w:t xml:space="preserve">is increased to a </w:t>
      </w:r>
      <w:r w:rsidR="00A12178" w:rsidRPr="009024C1">
        <w:rPr>
          <w:rFonts w:cs="Poppins"/>
          <w:kern w:val="0"/>
          <w:szCs w:val="24"/>
        </w:rPr>
        <w:t>mean number of</w:t>
      </w:r>
      <w:r w:rsidR="008D2BFD">
        <w:rPr>
          <w:rFonts w:cs="Poppins"/>
          <w:kern w:val="0"/>
          <w:szCs w:val="24"/>
        </w:rPr>
        <w:t xml:space="preserve"> 96.1</w:t>
      </w:r>
      <w:r w:rsidR="00A12178" w:rsidRPr="009024C1">
        <w:rPr>
          <w:rFonts w:cs="Poppins"/>
          <w:kern w:val="0"/>
          <w:szCs w:val="24"/>
        </w:rPr>
        <w:t xml:space="preserve"> hot food takeaways </w:t>
      </w:r>
      <w:r w:rsidR="008D2BFD">
        <w:rPr>
          <w:rFonts w:cs="Poppins"/>
          <w:kern w:val="0"/>
          <w:szCs w:val="24"/>
        </w:rPr>
        <w:t xml:space="preserve">per 100,000 population </w:t>
      </w:r>
      <w:r w:rsidR="00A12178" w:rsidRPr="009024C1">
        <w:rPr>
          <w:rFonts w:cs="Poppins"/>
          <w:kern w:val="0"/>
          <w:szCs w:val="24"/>
        </w:rPr>
        <w:t>in 201</w:t>
      </w:r>
      <w:r w:rsidR="00090314" w:rsidRPr="009024C1">
        <w:rPr>
          <w:rFonts w:cs="Poppins"/>
          <w:kern w:val="0"/>
          <w:szCs w:val="24"/>
        </w:rPr>
        <w:t>7</w:t>
      </w:r>
      <w:r w:rsidR="00090314" w:rsidRPr="009024C1">
        <w:rPr>
          <w:rStyle w:val="FootnoteReference"/>
          <w:rFonts w:cs="Poppins"/>
          <w:kern w:val="0"/>
          <w:szCs w:val="24"/>
        </w:rPr>
        <w:footnoteReference w:id="16"/>
      </w:r>
      <w:r w:rsidR="009B251A">
        <w:rPr>
          <w:rFonts w:cs="Poppins"/>
          <w:kern w:val="0"/>
          <w:szCs w:val="24"/>
        </w:rPr>
        <w:t xml:space="preserve"> - equivalent to 9.6 takeaways for every 10,000</w:t>
      </w:r>
      <w:r w:rsidR="00977473">
        <w:rPr>
          <w:rFonts w:cs="Poppins"/>
          <w:kern w:val="0"/>
          <w:szCs w:val="24"/>
        </w:rPr>
        <w:t xml:space="preserve"> people</w:t>
      </w:r>
      <w:r w:rsidR="00090314" w:rsidRPr="009024C1">
        <w:rPr>
          <w:rFonts w:cs="Poppins"/>
          <w:kern w:val="0"/>
          <w:szCs w:val="24"/>
        </w:rPr>
        <w:t>.</w:t>
      </w:r>
    </w:p>
    <w:p w14:paraId="5FDF0ABE" w14:textId="1EB94A60" w:rsidR="00310AD0" w:rsidRPr="009024C1" w:rsidRDefault="009B251A" w:rsidP="004903FF">
      <w:pPr>
        <w:autoSpaceDE w:val="0"/>
        <w:autoSpaceDN w:val="0"/>
        <w:adjustRightInd w:val="0"/>
        <w:spacing w:after="240"/>
        <w:rPr>
          <w:rFonts w:cs="Poppins"/>
          <w:b/>
          <w:bCs/>
          <w:color w:val="002060"/>
          <w:kern w:val="0"/>
          <w:sz w:val="28"/>
          <w:szCs w:val="28"/>
        </w:rPr>
      </w:pPr>
      <w:r w:rsidRPr="009024C1">
        <w:rPr>
          <w:szCs w:val="24"/>
        </w:rPr>
        <w:t>An analysis of the concentration of hot food takeaways in North Tyneside by ward, including the rate per 10,000 population</w:t>
      </w:r>
      <w:r>
        <w:rPr>
          <w:szCs w:val="24"/>
        </w:rPr>
        <w:t>,</w:t>
      </w:r>
      <w:r w:rsidRPr="009024C1">
        <w:rPr>
          <w:szCs w:val="24"/>
        </w:rPr>
        <w:t xml:space="preserve"> has been calculated</w:t>
      </w:r>
      <w:r>
        <w:rPr>
          <w:szCs w:val="24"/>
        </w:rPr>
        <w:t xml:space="preserve"> and is set out in Figure 9 below.</w:t>
      </w:r>
      <w:r w:rsidR="00147524">
        <w:rPr>
          <w:szCs w:val="24"/>
        </w:rPr>
        <w:t xml:space="preserve"> These figures illustrate that across the Borough </w:t>
      </w:r>
      <w:r w:rsidR="00FB4B97">
        <w:rPr>
          <w:szCs w:val="24"/>
        </w:rPr>
        <w:t xml:space="preserve">the number of takeaways </w:t>
      </w:r>
      <w:proofErr w:type="gramStart"/>
      <w:r w:rsidR="00FB4B97">
        <w:rPr>
          <w:szCs w:val="24"/>
        </w:rPr>
        <w:t>are</w:t>
      </w:r>
      <w:proofErr w:type="gramEnd"/>
      <w:r w:rsidR="00FB4B97">
        <w:rPr>
          <w:szCs w:val="24"/>
        </w:rPr>
        <w:t xml:space="preserve"> equivalent to the national average. However, locally there are significant concentrations in Chiron and Percy Main, Forest Hall, </w:t>
      </w:r>
      <w:r w:rsidR="0049109D">
        <w:rPr>
          <w:szCs w:val="24"/>
        </w:rPr>
        <w:t>North Shields, Shiremoor, Wallsend Central and Whitley Bay North.</w:t>
      </w:r>
    </w:p>
    <w:p w14:paraId="092421A7" w14:textId="100C976F" w:rsidR="00C65871" w:rsidRDefault="009B251A" w:rsidP="004903FF">
      <w:pPr>
        <w:pStyle w:val="Heading3"/>
        <w:spacing w:after="240"/>
        <w:rPr>
          <w:rFonts w:ascii="Poppins" w:hAnsi="Poppins" w:cs="Poppins"/>
          <w:b/>
          <w:bCs/>
          <w:color w:val="auto"/>
        </w:rPr>
      </w:pPr>
      <w:bookmarkStart w:id="26" w:name="_Toc178320199"/>
      <w:bookmarkStart w:id="27" w:name="_Toc180660530"/>
      <w:bookmarkStart w:id="28" w:name="_Toc180762278"/>
      <w:r>
        <w:rPr>
          <w:rFonts w:ascii="Poppins" w:hAnsi="Poppins" w:cs="Poppins"/>
          <w:b/>
          <w:bCs/>
          <w:color w:val="auto"/>
        </w:rPr>
        <w:t xml:space="preserve">Figure 9: </w:t>
      </w:r>
      <w:r w:rsidR="00F9431C">
        <w:rPr>
          <w:rFonts w:ascii="Poppins" w:hAnsi="Poppins" w:cs="Poppins"/>
          <w:b/>
          <w:bCs/>
          <w:color w:val="auto"/>
        </w:rPr>
        <w:t xml:space="preserve">Prevalence </w:t>
      </w:r>
      <w:r w:rsidR="00105A7F">
        <w:rPr>
          <w:rFonts w:ascii="Poppins" w:hAnsi="Poppins" w:cs="Poppins"/>
          <w:b/>
          <w:bCs/>
          <w:color w:val="auto"/>
        </w:rPr>
        <w:t xml:space="preserve">of Hot Food Takeaways </w:t>
      </w:r>
      <w:r w:rsidR="00F9431C">
        <w:rPr>
          <w:rFonts w:ascii="Poppins" w:hAnsi="Poppins" w:cs="Poppins"/>
          <w:b/>
          <w:bCs/>
          <w:color w:val="auto"/>
        </w:rPr>
        <w:t xml:space="preserve">per </w:t>
      </w:r>
      <w:r w:rsidR="004E3DB9" w:rsidRPr="00E61F10">
        <w:rPr>
          <w:rFonts w:ascii="Poppins" w:hAnsi="Poppins" w:cs="Poppins"/>
          <w:b/>
          <w:bCs/>
          <w:color w:val="auto"/>
        </w:rPr>
        <w:t>Ward</w:t>
      </w:r>
      <w:bookmarkEnd w:id="26"/>
      <w:bookmarkEnd w:id="27"/>
      <w:bookmarkEnd w:id="28"/>
      <w:r w:rsidR="00C65871" w:rsidRPr="00E61F10">
        <w:rPr>
          <w:rFonts w:ascii="Poppins" w:hAnsi="Poppins" w:cs="Poppins"/>
          <w:b/>
          <w:bCs/>
          <w:color w:val="auto"/>
        </w:rPr>
        <w:t xml:space="preserve"> </w:t>
      </w:r>
    </w:p>
    <w:tbl>
      <w:tblPr>
        <w:tblStyle w:val="TableGrid"/>
        <w:tblW w:w="0" w:type="auto"/>
        <w:tblLook w:val="04A0" w:firstRow="1" w:lastRow="0" w:firstColumn="1" w:lastColumn="0" w:noHBand="0" w:noVBand="1"/>
      </w:tblPr>
      <w:tblGrid>
        <w:gridCol w:w="2954"/>
        <w:gridCol w:w="2268"/>
        <w:gridCol w:w="2164"/>
        <w:gridCol w:w="1630"/>
      </w:tblGrid>
      <w:tr w:rsidR="009B251A" w:rsidRPr="002204D1" w14:paraId="756B9329" w14:textId="77777777" w:rsidTr="0049109D">
        <w:trPr>
          <w:tblHeader/>
        </w:trPr>
        <w:tc>
          <w:tcPr>
            <w:tcW w:w="2954" w:type="dxa"/>
            <w:shd w:val="clear" w:color="auto" w:fill="002060"/>
          </w:tcPr>
          <w:p w14:paraId="3C605B67" w14:textId="77777777" w:rsidR="005B771D" w:rsidRPr="002204D1" w:rsidRDefault="005B771D" w:rsidP="009B251A">
            <w:pPr>
              <w:spacing w:line="240" w:lineRule="auto"/>
              <w:rPr>
                <w:b/>
                <w:bCs/>
              </w:rPr>
            </w:pPr>
            <w:r w:rsidRPr="002204D1">
              <w:rPr>
                <w:b/>
                <w:bCs/>
              </w:rPr>
              <w:t>Ward</w:t>
            </w:r>
          </w:p>
        </w:tc>
        <w:tc>
          <w:tcPr>
            <w:tcW w:w="2268" w:type="dxa"/>
            <w:shd w:val="clear" w:color="auto" w:fill="002060"/>
          </w:tcPr>
          <w:p w14:paraId="175FE9C5" w14:textId="0A122FE2" w:rsidR="005B771D" w:rsidRPr="002204D1" w:rsidRDefault="005B771D" w:rsidP="009B251A">
            <w:pPr>
              <w:spacing w:line="240" w:lineRule="auto"/>
              <w:rPr>
                <w:b/>
                <w:bCs/>
              </w:rPr>
            </w:pPr>
            <w:r w:rsidRPr="002204D1">
              <w:rPr>
                <w:b/>
                <w:bCs/>
              </w:rPr>
              <w:t xml:space="preserve">Hot food </w:t>
            </w:r>
            <w:proofErr w:type="gramStart"/>
            <w:r w:rsidRPr="002204D1">
              <w:rPr>
                <w:b/>
                <w:bCs/>
              </w:rPr>
              <w:t>takeaway</w:t>
            </w:r>
            <w:r w:rsidR="009B251A">
              <w:rPr>
                <w:b/>
                <w:bCs/>
              </w:rPr>
              <w:t>’s</w:t>
            </w:r>
            <w:proofErr w:type="gramEnd"/>
            <w:r w:rsidR="009B251A">
              <w:rPr>
                <w:b/>
                <w:bCs/>
              </w:rPr>
              <w:t xml:space="preserve"> per</w:t>
            </w:r>
            <w:r w:rsidRPr="002204D1">
              <w:rPr>
                <w:b/>
                <w:bCs/>
              </w:rPr>
              <w:t xml:space="preserve"> Ward</w:t>
            </w:r>
          </w:p>
        </w:tc>
        <w:tc>
          <w:tcPr>
            <w:tcW w:w="2164" w:type="dxa"/>
            <w:shd w:val="clear" w:color="auto" w:fill="002060"/>
          </w:tcPr>
          <w:p w14:paraId="5597FB6A" w14:textId="77777777" w:rsidR="005B771D" w:rsidRPr="002204D1" w:rsidRDefault="005B771D" w:rsidP="009B251A">
            <w:pPr>
              <w:spacing w:line="240" w:lineRule="auto"/>
              <w:rPr>
                <w:b/>
                <w:bCs/>
              </w:rPr>
            </w:pPr>
            <w:r w:rsidRPr="002204D1">
              <w:rPr>
                <w:b/>
                <w:bCs/>
              </w:rPr>
              <w:t xml:space="preserve">Population </w:t>
            </w:r>
          </w:p>
          <w:p w14:paraId="660727A6" w14:textId="1CD19C5E" w:rsidR="005B771D" w:rsidRPr="002204D1" w:rsidRDefault="005B771D" w:rsidP="009B251A">
            <w:pPr>
              <w:spacing w:line="240" w:lineRule="auto"/>
              <w:rPr>
                <w:b/>
                <w:bCs/>
              </w:rPr>
            </w:pPr>
            <w:r w:rsidRPr="002204D1">
              <w:rPr>
                <w:b/>
                <w:bCs/>
              </w:rPr>
              <w:t xml:space="preserve">(2022 mid-year estimate) </w:t>
            </w:r>
          </w:p>
        </w:tc>
        <w:tc>
          <w:tcPr>
            <w:tcW w:w="0" w:type="auto"/>
            <w:shd w:val="clear" w:color="auto" w:fill="002060"/>
          </w:tcPr>
          <w:p w14:paraId="038DE3DF" w14:textId="1EFE6579" w:rsidR="005B771D" w:rsidRPr="002204D1" w:rsidRDefault="005B771D" w:rsidP="009B251A">
            <w:pPr>
              <w:spacing w:line="240" w:lineRule="auto"/>
              <w:rPr>
                <w:b/>
                <w:bCs/>
              </w:rPr>
            </w:pPr>
            <w:r w:rsidRPr="002204D1">
              <w:rPr>
                <w:b/>
                <w:bCs/>
              </w:rPr>
              <w:t>Rate per 10</w:t>
            </w:r>
            <w:r w:rsidR="009B251A">
              <w:rPr>
                <w:b/>
                <w:bCs/>
              </w:rPr>
              <w:t>0</w:t>
            </w:r>
            <w:r w:rsidRPr="002204D1">
              <w:rPr>
                <w:b/>
                <w:bCs/>
              </w:rPr>
              <w:t xml:space="preserve">,000 people </w:t>
            </w:r>
          </w:p>
        </w:tc>
      </w:tr>
      <w:tr w:rsidR="009B251A" w:rsidRPr="002204D1" w14:paraId="2A9D5BD5" w14:textId="77777777" w:rsidTr="009B251A">
        <w:tc>
          <w:tcPr>
            <w:tcW w:w="2954" w:type="dxa"/>
            <w:shd w:val="clear" w:color="auto" w:fill="D9E2F3" w:themeFill="accent1" w:themeFillTint="33"/>
          </w:tcPr>
          <w:p w14:paraId="3AF99217" w14:textId="77777777" w:rsidR="005B771D" w:rsidRPr="002204D1" w:rsidRDefault="005B771D" w:rsidP="009B251A">
            <w:pPr>
              <w:spacing w:line="240" w:lineRule="auto"/>
            </w:pPr>
            <w:r w:rsidRPr="002204D1">
              <w:t>Backworth and Holystone</w:t>
            </w:r>
          </w:p>
        </w:tc>
        <w:tc>
          <w:tcPr>
            <w:tcW w:w="2268" w:type="dxa"/>
            <w:shd w:val="clear" w:color="auto" w:fill="D9E2F3" w:themeFill="accent1" w:themeFillTint="33"/>
          </w:tcPr>
          <w:p w14:paraId="1366627C" w14:textId="77777777" w:rsidR="005B771D" w:rsidRPr="002204D1" w:rsidRDefault="005B771D" w:rsidP="009B251A">
            <w:pPr>
              <w:spacing w:line="240" w:lineRule="auto"/>
              <w:jc w:val="right"/>
            </w:pPr>
            <w:r w:rsidRPr="002204D1">
              <w:t>1</w:t>
            </w:r>
          </w:p>
        </w:tc>
        <w:tc>
          <w:tcPr>
            <w:tcW w:w="2164" w:type="dxa"/>
            <w:shd w:val="clear" w:color="auto" w:fill="D9E2F3" w:themeFill="accent1" w:themeFillTint="33"/>
          </w:tcPr>
          <w:p w14:paraId="59DCF8A0" w14:textId="77777777" w:rsidR="005B771D" w:rsidRPr="002204D1" w:rsidRDefault="005B771D" w:rsidP="009B251A">
            <w:pPr>
              <w:spacing w:line="240" w:lineRule="auto"/>
              <w:jc w:val="right"/>
            </w:pPr>
            <w:r w:rsidRPr="002204D1">
              <w:t>11,563</w:t>
            </w:r>
          </w:p>
        </w:tc>
        <w:tc>
          <w:tcPr>
            <w:tcW w:w="0" w:type="auto"/>
            <w:shd w:val="clear" w:color="auto" w:fill="D9E2F3" w:themeFill="accent1" w:themeFillTint="33"/>
            <w:vAlign w:val="center"/>
          </w:tcPr>
          <w:p w14:paraId="0D3AFA34" w14:textId="30BD9799" w:rsidR="005B771D" w:rsidRPr="002204D1" w:rsidRDefault="00977473" w:rsidP="009B251A">
            <w:pPr>
              <w:spacing w:line="240" w:lineRule="auto"/>
              <w:jc w:val="right"/>
            </w:pPr>
            <w:r>
              <w:rPr>
                <w:rFonts w:cs="Poppins"/>
                <w:color w:val="000000"/>
              </w:rPr>
              <w:t>0.</w:t>
            </w:r>
            <w:r w:rsidR="005B771D" w:rsidRPr="002204D1">
              <w:rPr>
                <w:rFonts w:cs="Poppins"/>
                <w:color w:val="000000"/>
              </w:rPr>
              <w:t>9</w:t>
            </w:r>
          </w:p>
        </w:tc>
      </w:tr>
      <w:tr w:rsidR="009B251A" w:rsidRPr="002204D1" w14:paraId="7793347E" w14:textId="77777777" w:rsidTr="009B251A">
        <w:tc>
          <w:tcPr>
            <w:tcW w:w="2954" w:type="dxa"/>
            <w:shd w:val="clear" w:color="auto" w:fill="D9E2F3" w:themeFill="accent1" w:themeFillTint="33"/>
          </w:tcPr>
          <w:p w14:paraId="71D8C408" w14:textId="77777777" w:rsidR="005B771D" w:rsidRPr="002204D1" w:rsidRDefault="005B771D" w:rsidP="009B251A">
            <w:pPr>
              <w:spacing w:line="240" w:lineRule="auto"/>
            </w:pPr>
            <w:r w:rsidRPr="002204D1">
              <w:t>Battle Hill</w:t>
            </w:r>
          </w:p>
        </w:tc>
        <w:tc>
          <w:tcPr>
            <w:tcW w:w="2268" w:type="dxa"/>
            <w:shd w:val="clear" w:color="auto" w:fill="D9E2F3" w:themeFill="accent1" w:themeFillTint="33"/>
          </w:tcPr>
          <w:p w14:paraId="23E555F4" w14:textId="77777777" w:rsidR="005B771D" w:rsidRPr="002204D1" w:rsidRDefault="005B771D" w:rsidP="009B251A">
            <w:pPr>
              <w:spacing w:line="240" w:lineRule="auto"/>
              <w:jc w:val="right"/>
            </w:pPr>
            <w:r w:rsidRPr="002204D1">
              <w:t>6</w:t>
            </w:r>
          </w:p>
        </w:tc>
        <w:tc>
          <w:tcPr>
            <w:tcW w:w="2164" w:type="dxa"/>
            <w:shd w:val="clear" w:color="auto" w:fill="D9E2F3" w:themeFill="accent1" w:themeFillTint="33"/>
          </w:tcPr>
          <w:p w14:paraId="301F2C9C" w14:textId="77777777" w:rsidR="005B771D" w:rsidRPr="002204D1" w:rsidRDefault="005B771D" w:rsidP="009B251A">
            <w:pPr>
              <w:spacing w:line="240" w:lineRule="auto"/>
              <w:jc w:val="right"/>
            </w:pPr>
            <w:r w:rsidRPr="002204D1">
              <w:t>10,966</w:t>
            </w:r>
          </w:p>
        </w:tc>
        <w:tc>
          <w:tcPr>
            <w:tcW w:w="0" w:type="auto"/>
            <w:shd w:val="clear" w:color="auto" w:fill="D9E2F3" w:themeFill="accent1" w:themeFillTint="33"/>
            <w:vAlign w:val="center"/>
          </w:tcPr>
          <w:p w14:paraId="36FF34A3" w14:textId="746DA21E" w:rsidR="005B771D" w:rsidRPr="002204D1" w:rsidRDefault="005B771D" w:rsidP="009B251A">
            <w:pPr>
              <w:spacing w:line="240" w:lineRule="auto"/>
              <w:jc w:val="right"/>
            </w:pPr>
            <w:r w:rsidRPr="002204D1">
              <w:rPr>
                <w:rFonts w:cs="Poppins"/>
                <w:color w:val="000000"/>
              </w:rPr>
              <w:t>5</w:t>
            </w:r>
            <w:r w:rsidR="00977473">
              <w:rPr>
                <w:rFonts w:cs="Poppins"/>
                <w:color w:val="000000"/>
              </w:rPr>
              <w:t>.</w:t>
            </w:r>
            <w:r w:rsidRPr="002204D1">
              <w:rPr>
                <w:rFonts w:cs="Poppins"/>
                <w:color w:val="000000"/>
              </w:rPr>
              <w:t>5</w:t>
            </w:r>
          </w:p>
        </w:tc>
      </w:tr>
      <w:tr w:rsidR="009B251A" w:rsidRPr="002204D1" w14:paraId="1812072E" w14:textId="77777777" w:rsidTr="009B251A">
        <w:tc>
          <w:tcPr>
            <w:tcW w:w="2954" w:type="dxa"/>
            <w:shd w:val="clear" w:color="auto" w:fill="D9E2F3" w:themeFill="accent1" w:themeFillTint="33"/>
          </w:tcPr>
          <w:p w14:paraId="6551B976" w14:textId="77777777" w:rsidR="005B771D" w:rsidRPr="002204D1" w:rsidRDefault="005B771D" w:rsidP="009B251A">
            <w:pPr>
              <w:spacing w:line="240" w:lineRule="auto"/>
            </w:pPr>
            <w:r w:rsidRPr="002204D1">
              <w:t xml:space="preserve">Camperdown </w:t>
            </w:r>
          </w:p>
        </w:tc>
        <w:tc>
          <w:tcPr>
            <w:tcW w:w="2268" w:type="dxa"/>
            <w:shd w:val="clear" w:color="auto" w:fill="D9E2F3" w:themeFill="accent1" w:themeFillTint="33"/>
          </w:tcPr>
          <w:p w14:paraId="0B44CF18" w14:textId="77777777" w:rsidR="005B771D" w:rsidRPr="002204D1" w:rsidRDefault="005B771D" w:rsidP="009B251A">
            <w:pPr>
              <w:spacing w:line="240" w:lineRule="auto"/>
              <w:jc w:val="right"/>
            </w:pPr>
            <w:r w:rsidRPr="002204D1">
              <w:t>10</w:t>
            </w:r>
          </w:p>
        </w:tc>
        <w:tc>
          <w:tcPr>
            <w:tcW w:w="2164" w:type="dxa"/>
            <w:shd w:val="clear" w:color="auto" w:fill="D9E2F3" w:themeFill="accent1" w:themeFillTint="33"/>
          </w:tcPr>
          <w:p w14:paraId="69C97C6B" w14:textId="77777777" w:rsidR="005B771D" w:rsidRPr="002204D1" w:rsidRDefault="005B771D" w:rsidP="009B251A">
            <w:pPr>
              <w:spacing w:line="240" w:lineRule="auto"/>
              <w:jc w:val="right"/>
            </w:pPr>
            <w:r w:rsidRPr="002204D1">
              <w:t>8,641</w:t>
            </w:r>
          </w:p>
        </w:tc>
        <w:tc>
          <w:tcPr>
            <w:tcW w:w="0" w:type="auto"/>
            <w:shd w:val="clear" w:color="auto" w:fill="D9E2F3" w:themeFill="accent1" w:themeFillTint="33"/>
            <w:vAlign w:val="center"/>
          </w:tcPr>
          <w:p w14:paraId="71B7179E" w14:textId="2CF15B6D" w:rsidR="005B771D" w:rsidRPr="002204D1" w:rsidRDefault="005B771D" w:rsidP="009B251A">
            <w:pPr>
              <w:spacing w:line="240" w:lineRule="auto"/>
              <w:jc w:val="right"/>
            </w:pPr>
            <w:r w:rsidRPr="002204D1">
              <w:rPr>
                <w:rFonts w:cs="Poppins"/>
                <w:color w:val="000000"/>
              </w:rPr>
              <w:t>11</w:t>
            </w:r>
            <w:r w:rsidR="00977473">
              <w:rPr>
                <w:rFonts w:cs="Poppins"/>
                <w:color w:val="000000"/>
              </w:rPr>
              <w:t>.</w:t>
            </w:r>
            <w:r w:rsidRPr="002204D1">
              <w:rPr>
                <w:rFonts w:cs="Poppins"/>
                <w:color w:val="000000"/>
              </w:rPr>
              <w:t>6</w:t>
            </w:r>
          </w:p>
        </w:tc>
      </w:tr>
      <w:tr w:rsidR="009B251A" w:rsidRPr="002204D1" w14:paraId="77740C59" w14:textId="77777777" w:rsidTr="009B251A">
        <w:tc>
          <w:tcPr>
            <w:tcW w:w="2954" w:type="dxa"/>
            <w:shd w:val="clear" w:color="auto" w:fill="D9E2F3" w:themeFill="accent1" w:themeFillTint="33"/>
          </w:tcPr>
          <w:p w14:paraId="06AA3014" w14:textId="77777777" w:rsidR="005B771D" w:rsidRPr="002204D1" w:rsidRDefault="005B771D" w:rsidP="009B251A">
            <w:pPr>
              <w:spacing w:line="240" w:lineRule="auto"/>
            </w:pPr>
            <w:r w:rsidRPr="002204D1">
              <w:t>Chirton &amp; Percy Main</w:t>
            </w:r>
          </w:p>
        </w:tc>
        <w:tc>
          <w:tcPr>
            <w:tcW w:w="2268" w:type="dxa"/>
            <w:shd w:val="clear" w:color="auto" w:fill="D9E2F3" w:themeFill="accent1" w:themeFillTint="33"/>
          </w:tcPr>
          <w:p w14:paraId="4A0323DD" w14:textId="77777777" w:rsidR="005B771D" w:rsidRPr="002204D1" w:rsidRDefault="005B771D" w:rsidP="009B251A">
            <w:pPr>
              <w:spacing w:line="240" w:lineRule="auto"/>
              <w:jc w:val="right"/>
            </w:pPr>
            <w:r w:rsidRPr="002204D1">
              <w:t>18</w:t>
            </w:r>
          </w:p>
        </w:tc>
        <w:tc>
          <w:tcPr>
            <w:tcW w:w="2164" w:type="dxa"/>
            <w:shd w:val="clear" w:color="auto" w:fill="D9E2F3" w:themeFill="accent1" w:themeFillTint="33"/>
          </w:tcPr>
          <w:p w14:paraId="7583C2C1" w14:textId="77777777" w:rsidR="005B771D" w:rsidRPr="002204D1" w:rsidRDefault="005B771D" w:rsidP="009B251A">
            <w:pPr>
              <w:spacing w:line="240" w:lineRule="auto"/>
              <w:jc w:val="right"/>
            </w:pPr>
            <w:r w:rsidRPr="002204D1">
              <w:t>12,364</w:t>
            </w:r>
          </w:p>
        </w:tc>
        <w:tc>
          <w:tcPr>
            <w:tcW w:w="0" w:type="auto"/>
            <w:shd w:val="clear" w:color="auto" w:fill="D9E2F3" w:themeFill="accent1" w:themeFillTint="33"/>
            <w:vAlign w:val="center"/>
          </w:tcPr>
          <w:p w14:paraId="5AD34E6A" w14:textId="424D2842" w:rsidR="005B771D" w:rsidRPr="002204D1" w:rsidRDefault="005B771D" w:rsidP="009B251A">
            <w:pPr>
              <w:spacing w:line="240" w:lineRule="auto"/>
              <w:jc w:val="right"/>
            </w:pPr>
            <w:r w:rsidRPr="002204D1">
              <w:rPr>
                <w:rFonts w:cs="Poppins"/>
                <w:color w:val="000000"/>
              </w:rPr>
              <w:t>14</w:t>
            </w:r>
            <w:r w:rsidR="00977473">
              <w:rPr>
                <w:rFonts w:cs="Poppins"/>
                <w:color w:val="000000"/>
              </w:rPr>
              <w:t>.</w:t>
            </w:r>
            <w:r w:rsidRPr="002204D1">
              <w:rPr>
                <w:rFonts w:cs="Poppins"/>
                <w:color w:val="000000"/>
              </w:rPr>
              <w:t>6</w:t>
            </w:r>
          </w:p>
        </w:tc>
      </w:tr>
      <w:tr w:rsidR="009B251A" w:rsidRPr="002204D1" w14:paraId="296C054B" w14:textId="77777777" w:rsidTr="009B251A">
        <w:tc>
          <w:tcPr>
            <w:tcW w:w="2954" w:type="dxa"/>
            <w:shd w:val="clear" w:color="auto" w:fill="D9E2F3" w:themeFill="accent1" w:themeFillTint="33"/>
          </w:tcPr>
          <w:p w14:paraId="3A0ABC5A" w14:textId="77777777" w:rsidR="005B771D" w:rsidRPr="002204D1" w:rsidRDefault="005B771D" w:rsidP="009B251A">
            <w:pPr>
              <w:spacing w:line="240" w:lineRule="auto"/>
            </w:pPr>
            <w:r w:rsidRPr="002204D1">
              <w:t xml:space="preserve">Cullercoats &amp; Whitley Bay South </w:t>
            </w:r>
          </w:p>
        </w:tc>
        <w:tc>
          <w:tcPr>
            <w:tcW w:w="2268" w:type="dxa"/>
            <w:shd w:val="clear" w:color="auto" w:fill="D9E2F3" w:themeFill="accent1" w:themeFillTint="33"/>
          </w:tcPr>
          <w:p w14:paraId="48E892A6" w14:textId="77777777" w:rsidR="005B771D" w:rsidRPr="002204D1" w:rsidRDefault="005B771D" w:rsidP="009B251A">
            <w:pPr>
              <w:spacing w:line="240" w:lineRule="auto"/>
              <w:jc w:val="right"/>
            </w:pPr>
            <w:r w:rsidRPr="002204D1">
              <w:t>7</w:t>
            </w:r>
          </w:p>
        </w:tc>
        <w:tc>
          <w:tcPr>
            <w:tcW w:w="2164" w:type="dxa"/>
            <w:shd w:val="clear" w:color="auto" w:fill="D9E2F3" w:themeFill="accent1" w:themeFillTint="33"/>
          </w:tcPr>
          <w:p w14:paraId="1D4ECEDC" w14:textId="77777777" w:rsidR="005B771D" w:rsidRPr="002204D1" w:rsidRDefault="005B771D" w:rsidP="009B251A">
            <w:pPr>
              <w:spacing w:line="240" w:lineRule="auto"/>
              <w:jc w:val="right"/>
            </w:pPr>
            <w:r w:rsidRPr="002204D1">
              <w:t>10,729</w:t>
            </w:r>
          </w:p>
        </w:tc>
        <w:tc>
          <w:tcPr>
            <w:tcW w:w="0" w:type="auto"/>
            <w:shd w:val="clear" w:color="auto" w:fill="D9E2F3" w:themeFill="accent1" w:themeFillTint="33"/>
            <w:vAlign w:val="center"/>
          </w:tcPr>
          <w:p w14:paraId="73629E9E" w14:textId="250E46A4" w:rsidR="005B771D" w:rsidRPr="002204D1" w:rsidRDefault="005B771D" w:rsidP="009B251A">
            <w:pPr>
              <w:spacing w:line="240" w:lineRule="auto"/>
              <w:jc w:val="right"/>
            </w:pPr>
            <w:r w:rsidRPr="002204D1">
              <w:rPr>
                <w:rFonts w:cs="Poppins"/>
                <w:color w:val="000000"/>
              </w:rPr>
              <w:t>6</w:t>
            </w:r>
            <w:r w:rsidR="00977473">
              <w:rPr>
                <w:rFonts w:cs="Poppins"/>
                <w:color w:val="000000"/>
              </w:rPr>
              <w:t>.</w:t>
            </w:r>
            <w:r w:rsidRPr="002204D1">
              <w:rPr>
                <w:rFonts w:cs="Poppins"/>
                <w:color w:val="000000"/>
              </w:rPr>
              <w:t>5</w:t>
            </w:r>
          </w:p>
        </w:tc>
      </w:tr>
      <w:tr w:rsidR="009B251A" w:rsidRPr="002204D1" w14:paraId="7D2F52FB" w14:textId="77777777" w:rsidTr="009B251A">
        <w:tc>
          <w:tcPr>
            <w:tcW w:w="2954" w:type="dxa"/>
            <w:shd w:val="clear" w:color="auto" w:fill="D9E2F3" w:themeFill="accent1" w:themeFillTint="33"/>
          </w:tcPr>
          <w:p w14:paraId="3013C552" w14:textId="77777777" w:rsidR="005B771D" w:rsidRPr="002204D1" w:rsidRDefault="005B771D" w:rsidP="009B251A">
            <w:pPr>
              <w:spacing w:line="240" w:lineRule="auto"/>
            </w:pPr>
            <w:r w:rsidRPr="002204D1">
              <w:t>Forest Hall</w:t>
            </w:r>
          </w:p>
        </w:tc>
        <w:tc>
          <w:tcPr>
            <w:tcW w:w="2268" w:type="dxa"/>
            <w:shd w:val="clear" w:color="auto" w:fill="D9E2F3" w:themeFill="accent1" w:themeFillTint="33"/>
          </w:tcPr>
          <w:p w14:paraId="0185A1AD" w14:textId="77777777" w:rsidR="005B771D" w:rsidRPr="002204D1" w:rsidRDefault="005B771D" w:rsidP="009B251A">
            <w:pPr>
              <w:spacing w:line="240" w:lineRule="auto"/>
              <w:jc w:val="right"/>
            </w:pPr>
            <w:r w:rsidRPr="002204D1">
              <w:t>19</w:t>
            </w:r>
          </w:p>
        </w:tc>
        <w:tc>
          <w:tcPr>
            <w:tcW w:w="2164" w:type="dxa"/>
            <w:shd w:val="clear" w:color="auto" w:fill="D9E2F3" w:themeFill="accent1" w:themeFillTint="33"/>
          </w:tcPr>
          <w:p w14:paraId="7E9816E0" w14:textId="77777777" w:rsidR="005B771D" w:rsidRPr="002204D1" w:rsidRDefault="005B771D" w:rsidP="009B251A">
            <w:pPr>
              <w:spacing w:line="240" w:lineRule="auto"/>
              <w:jc w:val="right"/>
            </w:pPr>
            <w:r w:rsidRPr="002204D1">
              <w:t>9,281</w:t>
            </w:r>
          </w:p>
        </w:tc>
        <w:tc>
          <w:tcPr>
            <w:tcW w:w="0" w:type="auto"/>
            <w:shd w:val="clear" w:color="auto" w:fill="D9E2F3" w:themeFill="accent1" w:themeFillTint="33"/>
            <w:vAlign w:val="center"/>
          </w:tcPr>
          <w:p w14:paraId="2BB295F3" w14:textId="2FB8D32D" w:rsidR="005B771D" w:rsidRPr="002204D1" w:rsidRDefault="005B771D" w:rsidP="009B251A">
            <w:pPr>
              <w:spacing w:line="240" w:lineRule="auto"/>
              <w:jc w:val="right"/>
            </w:pPr>
            <w:r w:rsidRPr="002204D1">
              <w:rPr>
                <w:rFonts w:cs="Poppins"/>
                <w:color w:val="000000"/>
              </w:rPr>
              <w:t>20</w:t>
            </w:r>
            <w:r w:rsidR="00977473">
              <w:rPr>
                <w:rFonts w:cs="Poppins"/>
                <w:color w:val="000000"/>
              </w:rPr>
              <w:t>.</w:t>
            </w:r>
            <w:r w:rsidRPr="002204D1">
              <w:rPr>
                <w:rFonts w:cs="Poppins"/>
                <w:color w:val="000000"/>
              </w:rPr>
              <w:t>5</w:t>
            </w:r>
          </w:p>
        </w:tc>
      </w:tr>
      <w:tr w:rsidR="009B251A" w:rsidRPr="002204D1" w14:paraId="78375A7E" w14:textId="77777777" w:rsidTr="009B251A">
        <w:tc>
          <w:tcPr>
            <w:tcW w:w="2954" w:type="dxa"/>
            <w:shd w:val="clear" w:color="auto" w:fill="D9E2F3" w:themeFill="accent1" w:themeFillTint="33"/>
          </w:tcPr>
          <w:p w14:paraId="1B8F60DF" w14:textId="77777777" w:rsidR="005B771D" w:rsidRPr="002204D1" w:rsidRDefault="005B771D" w:rsidP="009B251A">
            <w:pPr>
              <w:spacing w:line="240" w:lineRule="auto"/>
            </w:pPr>
            <w:r w:rsidRPr="002204D1">
              <w:t xml:space="preserve">Howdon </w:t>
            </w:r>
          </w:p>
        </w:tc>
        <w:tc>
          <w:tcPr>
            <w:tcW w:w="2268" w:type="dxa"/>
            <w:shd w:val="clear" w:color="auto" w:fill="D9E2F3" w:themeFill="accent1" w:themeFillTint="33"/>
          </w:tcPr>
          <w:p w14:paraId="6683FDE3" w14:textId="77777777" w:rsidR="005B771D" w:rsidRPr="002204D1" w:rsidRDefault="005B771D" w:rsidP="009B251A">
            <w:pPr>
              <w:spacing w:line="240" w:lineRule="auto"/>
              <w:jc w:val="right"/>
            </w:pPr>
            <w:r w:rsidRPr="002204D1">
              <w:t>13</w:t>
            </w:r>
          </w:p>
        </w:tc>
        <w:tc>
          <w:tcPr>
            <w:tcW w:w="2164" w:type="dxa"/>
            <w:shd w:val="clear" w:color="auto" w:fill="D9E2F3" w:themeFill="accent1" w:themeFillTint="33"/>
          </w:tcPr>
          <w:p w14:paraId="70AFD41D" w14:textId="77777777" w:rsidR="005B771D" w:rsidRPr="002204D1" w:rsidRDefault="005B771D" w:rsidP="009B251A">
            <w:pPr>
              <w:spacing w:line="240" w:lineRule="auto"/>
              <w:jc w:val="right"/>
            </w:pPr>
            <w:r w:rsidRPr="002204D1">
              <w:t>12,285</w:t>
            </w:r>
          </w:p>
        </w:tc>
        <w:tc>
          <w:tcPr>
            <w:tcW w:w="0" w:type="auto"/>
            <w:shd w:val="clear" w:color="auto" w:fill="D9E2F3" w:themeFill="accent1" w:themeFillTint="33"/>
            <w:vAlign w:val="center"/>
          </w:tcPr>
          <w:p w14:paraId="246956E5" w14:textId="608A37C4" w:rsidR="005B771D" w:rsidRPr="002204D1" w:rsidRDefault="005B771D" w:rsidP="009B251A">
            <w:pPr>
              <w:spacing w:line="240" w:lineRule="auto"/>
              <w:jc w:val="right"/>
            </w:pPr>
            <w:r w:rsidRPr="002204D1">
              <w:rPr>
                <w:rFonts w:cs="Poppins"/>
                <w:color w:val="000000"/>
              </w:rPr>
              <w:t>10</w:t>
            </w:r>
            <w:r w:rsidR="00977473">
              <w:rPr>
                <w:rFonts w:cs="Poppins"/>
                <w:color w:val="000000"/>
              </w:rPr>
              <w:t>.</w:t>
            </w:r>
            <w:r w:rsidRPr="002204D1">
              <w:rPr>
                <w:rFonts w:cs="Poppins"/>
                <w:color w:val="000000"/>
              </w:rPr>
              <w:t>6</w:t>
            </w:r>
          </w:p>
        </w:tc>
      </w:tr>
      <w:tr w:rsidR="009B251A" w:rsidRPr="002204D1" w14:paraId="5601C79A" w14:textId="77777777" w:rsidTr="009B251A">
        <w:tc>
          <w:tcPr>
            <w:tcW w:w="2954" w:type="dxa"/>
            <w:shd w:val="clear" w:color="auto" w:fill="D9E2F3" w:themeFill="accent1" w:themeFillTint="33"/>
          </w:tcPr>
          <w:p w14:paraId="7E9782AA" w14:textId="77777777" w:rsidR="005B771D" w:rsidRPr="002204D1" w:rsidRDefault="005B771D" w:rsidP="009B251A">
            <w:pPr>
              <w:spacing w:line="240" w:lineRule="auto"/>
            </w:pPr>
            <w:r w:rsidRPr="002204D1">
              <w:t>Killingworth</w:t>
            </w:r>
          </w:p>
        </w:tc>
        <w:tc>
          <w:tcPr>
            <w:tcW w:w="2268" w:type="dxa"/>
            <w:shd w:val="clear" w:color="auto" w:fill="D9E2F3" w:themeFill="accent1" w:themeFillTint="33"/>
          </w:tcPr>
          <w:p w14:paraId="157CAD5F" w14:textId="77777777" w:rsidR="005B771D" w:rsidRPr="002204D1" w:rsidRDefault="005B771D" w:rsidP="009B251A">
            <w:pPr>
              <w:spacing w:line="240" w:lineRule="auto"/>
              <w:jc w:val="right"/>
            </w:pPr>
            <w:r w:rsidRPr="002204D1">
              <w:t>0</w:t>
            </w:r>
          </w:p>
        </w:tc>
        <w:tc>
          <w:tcPr>
            <w:tcW w:w="2164" w:type="dxa"/>
            <w:shd w:val="clear" w:color="auto" w:fill="D9E2F3" w:themeFill="accent1" w:themeFillTint="33"/>
          </w:tcPr>
          <w:p w14:paraId="6B13C17E" w14:textId="77777777" w:rsidR="005B771D" w:rsidRPr="002204D1" w:rsidRDefault="005B771D" w:rsidP="009B251A">
            <w:pPr>
              <w:spacing w:line="240" w:lineRule="auto"/>
              <w:jc w:val="right"/>
            </w:pPr>
            <w:r w:rsidRPr="002204D1">
              <w:t>8,066</w:t>
            </w:r>
          </w:p>
        </w:tc>
        <w:tc>
          <w:tcPr>
            <w:tcW w:w="0" w:type="auto"/>
            <w:shd w:val="clear" w:color="auto" w:fill="D9E2F3" w:themeFill="accent1" w:themeFillTint="33"/>
            <w:vAlign w:val="center"/>
          </w:tcPr>
          <w:p w14:paraId="6FF2F083" w14:textId="30673D3E" w:rsidR="005B771D" w:rsidRPr="002204D1" w:rsidRDefault="005B771D" w:rsidP="009B251A">
            <w:pPr>
              <w:spacing w:line="240" w:lineRule="auto"/>
              <w:jc w:val="right"/>
            </w:pPr>
            <w:r w:rsidRPr="002204D1">
              <w:rPr>
                <w:rFonts w:cs="Poppins"/>
                <w:color w:val="000000"/>
              </w:rPr>
              <w:t>0</w:t>
            </w:r>
            <w:r w:rsidR="00147524">
              <w:rPr>
                <w:rFonts w:cs="Poppins"/>
                <w:color w:val="000000"/>
              </w:rPr>
              <w:t>.</w:t>
            </w:r>
            <w:r w:rsidRPr="002204D1">
              <w:rPr>
                <w:rFonts w:cs="Poppins"/>
                <w:color w:val="000000"/>
              </w:rPr>
              <w:t>0</w:t>
            </w:r>
          </w:p>
        </w:tc>
      </w:tr>
      <w:tr w:rsidR="009B251A" w:rsidRPr="002204D1" w14:paraId="06638E09" w14:textId="77777777" w:rsidTr="009B251A">
        <w:tc>
          <w:tcPr>
            <w:tcW w:w="2954" w:type="dxa"/>
            <w:shd w:val="clear" w:color="auto" w:fill="D9E2F3" w:themeFill="accent1" w:themeFillTint="33"/>
          </w:tcPr>
          <w:p w14:paraId="1D533C15" w14:textId="77777777" w:rsidR="005B771D" w:rsidRPr="002204D1" w:rsidRDefault="005B771D" w:rsidP="009B251A">
            <w:pPr>
              <w:spacing w:line="240" w:lineRule="auto"/>
            </w:pPr>
            <w:r w:rsidRPr="002204D1">
              <w:t>Longbenton &amp; Benton</w:t>
            </w:r>
          </w:p>
        </w:tc>
        <w:tc>
          <w:tcPr>
            <w:tcW w:w="2268" w:type="dxa"/>
            <w:shd w:val="clear" w:color="auto" w:fill="D9E2F3" w:themeFill="accent1" w:themeFillTint="33"/>
          </w:tcPr>
          <w:p w14:paraId="1D34C301" w14:textId="77777777" w:rsidR="005B771D" w:rsidRPr="002204D1" w:rsidRDefault="005B771D" w:rsidP="009B251A">
            <w:pPr>
              <w:spacing w:line="240" w:lineRule="auto"/>
              <w:jc w:val="right"/>
            </w:pPr>
            <w:r w:rsidRPr="002204D1">
              <w:t>4</w:t>
            </w:r>
          </w:p>
        </w:tc>
        <w:tc>
          <w:tcPr>
            <w:tcW w:w="2164" w:type="dxa"/>
            <w:shd w:val="clear" w:color="auto" w:fill="D9E2F3" w:themeFill="accent1" w:themeFillTint="33"/>
          </w:tcPr>
          <w:p w14:paraId="0C29BAE2" w14:textId="77777777" w:rsidR="005B771D" w:rsidRPr="002204D1" w:rsidRDefault="005B771D" w:rsidP="009B251A">
            <w:pPr>
              <w:spacing w:line="240" w:lineRule="auto"/>
              <w:jc w:val="right"/>
            </w:pPr>
            <w:r w:rsidRPr="002204D1">
              <w:t>11,232</w:t>
            </w:r>
          </w:p>
        </w:tc>
        <w:tc>
          <w:tcPr>
            <w:tcW w:w="0" w:type="auto"/>
            <w:shd w:val="clear" w:color="auto" w:fill="D9E2F3" w:themeFill="accent1" w:themeFillTint="33"/>
            <w:vAlign w:val="center"/>
          </w:tcPr>
          <w:p w14:paraId="37F32873" w14:textId="03A5347E" w:rsidR="005B771D" w:rsidRPr="002204D1" w:rsidRDefault="005B771D" w:rsidP="009B251A">
            <w:pPr>
              <w:spacing w:line="240" w:lineRule="auto"/>
              <w:jc w:val="right"/>
            </w:pPr>
            <w:r w:rsidRPr="002204D1">
              <w:rPr>
                <w:rFonts w:cs="Poppins"/>
                <w:color w:val="000000"/>
              </w:rPr>
              <w:t>3</w:t>
            </w:r>
            <w:r w:rsidR="00147524">
              <w:rPr>
                <w:rFonts w:cs="Poppins"/>
                <w:color w:val="000000"/>
              </w:rPr>
              <w:t>.</w:t>
            </w:r>
            <w:r w:rsidRPr="002204D1">
              <w:rPr>
                <w:rFonts w:cs="Poppins"/>
                <w:color w:val="000000"/>
              </w:rPr>
              <w:t>6</w:t>
            </w:r>
          </w:p>
        </w:tc>
      </w:tr>
      <w:tr w:rsidR="009B251A" w:rsidRPr="002204D1" w14:paraId="5BA28BD0" w14:textId="77777777" w:rsidTr="009B251A">
        <w:tc>
          <w:tcPr>
            <w:tcW w:w="2954" w:type="dxa"/>
            <w:shd w:val="clear" w:color="auto" w:fill="D9E2F3" w:themeFill="accent1" w:themeFillTint="33"/>
          </w:tcPr>
          <w:p w14:paraId="344CA2F9" w14:textId="77777777" w:rsidR="005B771D" w:rsidRPr="002204D1" w:rsidRDefault="005B771D" w:rsidP="009B251A">
            <w:pPr>
              <w:spacing w:line="240" w:lineRule="auto"/>
            </w:pPr>
            <w:r w:rsidRPr="002204D1">
              <w:t>Monkseaton</w:t>
            </w:r>
          </w:p>
        </w:tc>
        <w:tc>
          <w:tcPr>
            <w:tcW w:w="2268" w:type="dxa"/>
            <w:shd w:val="clear" w:color="auto" w:fill="D9E2F3" w:themeFill="accent1" w:themeFillTint="33"/>
          </w:tcPr>
          <w:p w14:paraId="7B14EAAB" w14:textId="77777777" w:rsidR="005B771D" w:rsidRPr="002204D1" w:rsidRDefault="005B771D" w:rsidP="009B251A">
            <w:pPr>
              <w:spacing w:line="240" w:lineRule="auto"/>
              <w:jc w:val="right"/>
            </w:pPr>
            <w:r w:rsidRPr="002204D1">
              <w:t>5</w:t>
            </w:r>
          </w:p>
        </w:tc>
        <w:tc>
          <w:tcPr>
            <w:tcW w:w="2164" w:type="dxa"/>
            <w:shd w:val="clear" w:color="auto" w:fill="D9E2F3" w:themeFill="accent1" w:themeFillTint="33"/>
          </w:tcPr>
          <w:p w14:paraId="6C7B9582" w14:textId="77777777" w:rsidR="005B771D" w:rsidRPr="002204D1" w:rsidRDefault="005B771D" w:rsidP="009B251A">
            <w:pPr>
              <w:spacing w:line="240" w:lineRule="auto"/>
              <w:jc w:val="right"/>
            </w:pPr>
            <w:r w:rsidRPr="002204D1">
              <w:t>9,670</w:t>
            </w:r>
          </w:p>
        </w:tc>
        <w:tc>
          <w:tcPr>
            <w:tcW w:w="0" w:type="auto"/>
            <w:shd w:val="clear" w:color="auto" w:fill="D9E2F3" w:themeFill="accent1" w:themeFillTint="33"/>
            <w:vAlign w:val="center"/>
          </w:tcPr>
          <w:p w14:paraId="5C2391F0" w14:textId="73DB6564" w:rsidR="005B771D" w:rsidRPr="002204D1" w:rsidRDefault="005B771D" w:rsidP="009B251A">
            <w:pPr>
              <w:spacing w:line="240" w:lineRule="auto"/>
              <w:jc w:val="right"/>
            </w:pPr>
            <w:r w:rsidRPr="002204D1">
              <w:rPr>
                <w:rFonts w:cs="Poppins"/>
                <w:color w:val="000000"/>
              </w:rPr>
              <w:t>5</w:t>
            </w:r>
            <w:r w:rsidR="00147524">
              <w:rPr>
                <w:rFonts w:cs="Poppins"/>
                <w:color w:val="000000"/>
              </w:rPr>
              <w:t>.</w:t>
            </w:r>
            <w:r w:rsidRPr="002204D1">
              <w:rPr>
                <w:rFonts w:cs="Poppins"/>
                <w:color w:val="000000"/>
              </w:rPr>
              <w:t>2</w:t>
            </w:r>
          </w:p>
        </w:tc>
      </w:tr>
      <w:tr w:rsidR="009B251A" w:rsidRPr="002204D1" w14:paraId="0099DC46" w14:textId="77777777" w:rsidTr="009B251A">
        <w:tc>
          <w:tcPr>
            <w:tcW w:w="2954" w:type="dxa"/>
            <w:shd w:val="clear" w:color="auto" w:fill="D9E2F3" w:themeFill="accent1" w:themeFillTint="33"/>
          </w:tcPr>
          <w:p w14:paraId="05DA8C6C" w14:textId="77777777" w:rsidR="005B771D" w:rsidRPr="002204D1" w:rsidRDefault="005B771D" w:rsidP="009B251A">
            <w:pPr>
              <w:spacing w:line="240" w:lineRule="auto"/>
            </w:pPr>
            <w:r w:rsidRPr="002204D1">
              <w:t>New York and Murton</w:t>
            </w:r>
          </w:p>
        </w:tc>
        <w:tc>
          <w:tcPr>
            <w:tcW w:w="2268" w:type="dxa"/>
            <w:shd w:val="clear" w:color="auto" w:fill="D9E2F3" w:themeFill="accent1" w:themeFillTint="33"/>
          </w:tcPr>
          <w:p w14:paraId="2C49C741" w14:textId="77777777" w:rsidR="005B771D" w:rsidRPr="002204D1" w:rsidRDefault="005B771D" w:rsidP="009B251A">
            <w:pPr>
              <w:spacing w:line="240" w:lineRule="auto"/>
              <w:jc w:val="right"/>
            </w:pPr>
            <w:r w:rsidRPr="002204D1">
              <w:t>7</w:t>
            </w:r>
          </w:p>
        </w:tc>
        <w:tc>
          <w:tcPr>
            <w:tcW w:w="2164" w:type="dxa"/>
            <w:shd w:val="clear" w:color="auto" w:fill="D9E2F3" w:themeFill="accent1" w:themeFillTint="33"/>
          </w:tcPr>
          <w:p w14:paraId="256DCF0C" w14:textId="77777777" w:rsidR="005B771D" w:rsidRPr="002204D1" w:rsidRDefault="005B771D" w:rsidP="009B251A">
            <w:pPr>
              <w:spacing w:line="240" w:lineRule="auto"/>
              <w:jc w:val="right"/>
            </w:pPr>
            <w:r w:rsidRPr="002204D1">
              <w:t>9,576</w:t>
            </w:r>
          </w:p>
        </w:tc>
        <w:tc>
          <w:tcPr>
            <w:tcW w:w="0" w:type="auto"/>
            <w:shd w:val="clear" w:color="auto" w:fill="D9E2F3" w:themeFill="accent1" w:themeFillTint="33"/>
            <w:vAlign w:val="center"/>
          </w:tcPr>
          <w:p w14:paraId="00ACCF50" w14:textId="42CDA031" w:rsidR="005B771D" w:rsidRPr="002204D1" w:rsidRDefault="005B771D" w:rsidP="009B251A">
            <w:pPr>
              <w:spacing w:line="240" w:lineRule="auto"/>
              <w:jc w:val="right"/>
            </w:pPr>
            <w:r w:rsidRPr="002204D1">
              <w:rPr>
                <w:rFonts w:cs="Poppins"/>
                <w:color w:val="000000"/>
              </w:rPr>
              <w:t>7</w:t>
            </w:r>
            <w:r w:rsidR="00147524">
              <w:rPr>
                <w:rFonts w:cs="Poppins"/>
                <w:color w:val="000000"/>
              </w:rPr>
              <w:t>.</w:t>
            </w:r>
            <w:r w:rsidRPr="002204D1">
              <w:rPr>
                <w:rFonts w:cs="Poppins"/>
                <w:color w:val="000000"/>
              </w:rPr>
              <w:t>3</w:t>
            </w:r>
          </w:p>
        </w:tc>
      </w:tr>
      <w:tr w:rsidR="009B251A" w:rsidRPr="002204D1" w14:paraId="2DCAB491" w14:textId="77777777" w:rsidTr="009B251A">
        <w:tc>
          <w:tcPr>
            <w:tcW w:w="2954" w:type="dxa"/>
            <w:shd w:val="clear" w:color="auto" w:fill="D9E2F3" w:themeFill="accent1" w:themeFillTint="33"/>
          </w:tcPr>
          <w:p w14:paraId="29A4235A" w14:textId="77777777" w:rsidR="005B771D" w:rsidRPr="002204D1" w:rsidRDefault="005B771D" w:rsidP="009B251A">
            <w:pPr>
              <w:spacing w:line="240" w:lineRule="auto"/>
            </w:pPr>
            <w:r w:rsidRPr="002204D1">
              <w:t>North Shields</w:t>
            </w:r>
          </w:p>
        </w:tc>
        <w:tc>
          <w:tcPr>
            <w:tcW w:w="2268" w:type="dxa"/>
            <w:shd w:val="clear" w:color="auto" w:fill="D9E2F3" w:themeFill="accent1" w:themeFillTint="33"/>
          </w:tcPr>
          <w:p w14:paraId="18ED0255" w14:textId="77777777" w:rsidR="005B771D" w:rsidRPr="002204D1" w:rsidRDefault="005B771D" w:rsidP="009B251A">
            <w:pPr>
              <w:spacing w:line="240" w:lineRule="auto"/>
              <w:jc w:val="right"/>
            </w:pPr>
            <w:r w:rsidRPr="002204D1">
              <w:t>24</w:t>
            </w:r>
          </w:p>
        </w:tc>
        <w:tc>
          <w:tcPr>
            <w:tcW w:w="2164" w:type="dxa"/>
            <w:shd w:val="clear" w:color="auto" w:fill="D9E2F3" w:themeFill="accent1" w:themeFillTint="33"/>
          </w:tcPr>
          <w:p w14:paraId="577F3EC6" w14:textId="77777777" w:rsidR="005B771D" w:rsidRPr="002204D1" w:rsidRDefault="005B771D" w:rsidP="009B251A">
            <w:pPr>
              <w:spacing w:line="240" w:lineRule="auto"/>
              <w:jc w:val="right"/>
            </w:pPr>
            <w:r w:rsidRPr="002204D1">
              <w:t>12,383</w:t>
            </w:r>
          </w:p>
        </w:tc>
        <w:tc>
          <w:tcPr>
            <w:tcW w:w="0" w:type="auto"/>
            <w:shd w:val="clear" w:color="auto" w:fill="D9E2F3" w:themeFill="accent1" w:themeFillTint="33"/>
            <w:vAlign w:val="center"/>
          </w:tcPr>
          <w:p w14:paraId="4798037D" w14:textId="6587632C" w:rsidR="005B771D" w:rsidRPr="002204D1" w:rsidRDefault="005B771D" w:rsidP="009B251A">
            <w:pPr>
              <w:spacing w:line="240" w:lineRule="auto"/>
              <w:jc w:val="right"/>
            </w:pPr>
            <w:r w:rsidRPr="002204D1">
              <w:rPr>
                <w:rFonts w:cs="Poppins"/>
                <w:color w:val="000000"/>
              </w:rPr>
              <w:t>19</w:t>
            </w:r>
            <w:r w:rsidR="00147524">
              <w:rPr>
                <w:rFonts w:cs="Poppins"/>
                <w:color w:val="000000"/>
              </w:rPr>
              <w:t>.</w:t>
            </w:r>
            <w:r w:rsidRPr="002204D1">
              <w:rPr>
                <w:rFonts w:cs="Poppins"/>
                <w:color w:val="000000"/>
              </w:rPr>
              <w:t>4</w:t>
            </w:r>
          </w:p>
        </w:tc>
      </w:tr>
      <w:tr w:rsidR="009B251A" w:rsidRPr="002204D1" w14:paraId="50564ED1" w14:textId="77777777" w:rsidTr="009B251A">
        <w:tc>
          <w:tcPr>
            <w:tcW w:w="2954" w:type="dxa"/>
            <w:shd w:val="clear" w:color="auto" w:fill="D9E2F3" w:themeFill="accent1" w:themeFillTint="33"/>
          </w:tcPr>
          <w:p w14:paraId="547DF691" w14:textId="77777777" w:rsidR="005B771D" w:rsidRPr="002204D1" w:rsidRDefault="005B771D" w:rsidP="009B251A">
            <w:pPr>
              <w:spacing w:line="240" w:lineRule="auto"/>
            </w:pPr>
            <w:r w:rsidRPr="002204D1">
              <w:lastRenderedPageBreak/>
              <w:t xml:space="preserve">Preston with Preston Grange </w:t>
            </w:r>
          </w:p>
        </w:tc>
        <w:tc>
          <w:tcPr>
            <w:tcW w:w="2268" w:type="dxa"/>
            <w:shd w:val="clear" w:color="auto" w:fill="D9E2F3" w:themeFill="accent1" w:themeFillTint="33"/>
          </w:tcPr>
          <w:p w14:paraId="7F68F4FC" w14:textId="77777777" w:rsidR="005B771D" w:rsidRPr="002204D1" w:rsidRDefault="005B771D" w:rsidP="009B251A">
            <w:pPr>
              <w:spacing w:line="240" w:lineRule="auto"/>
              <w:jc w:val="right"/>
            </w:pPr>
            <w:r w:rsidRPr="002204D1">
              <w:t>4</w:t>
            </w:r>
          </w:p>
        </w:tc>
        <w:tc>
          <w:tcPr>
            <w:tcW w:w="2164" w:type="dxa"/>
            <w:shd w:val="clear" w:color="auto" w:fill="D9E2F3" w:themeFill="accent1" w:themeFillTint="33"/>
          </w:tcPr>
          <w:p w14:paraId="788B5F5B" w14:textId="77777777" w:rsidR="005B771D" w:rsidRPr="002204D1" w:rsidRDefault="005B771D" w:rsidP="009B251A">
            <w:pPr>
              <w:spacing w:line="240" w:lineRule="auto"/>
              <w:jc w:val="right"/>
            </w:pPr>
            <w:r w:rsidRPr="002204D1">
              <w:t>9,504</w:t>
            </w:r>
          </w:p>
        </w:tc>
        <w:tc>
          <w:tcPr>
            <w:tcW w:w="0" w:type="auto"/>
            <w:shd w:val="clear" w:color="auto" w:fill="D9E2F3" w:themeFill="accent1" w:themeFillTint="33"/>
            <w:vAlign w:val="center"/>
          </w:tcPr>
          <w:p w14:paraId="15D610FC" w14:textId="15F473FE" w:rsidR="005B771D" w:rsidRPr="002204D1" w:rsidRDefault="005B771D" w:rsidP="009B251A">
            <w:pPr>
              <w:spacing w:line="240" w:lineRule="auto"/>
              <w:jc w:val="right"/>
            </w:pPr>
            <w:r w:rsidRPr="002204D1">
              <w:rPr>
                <w:rFonts w:cs="Poppins"/>
                <w:color w:val="000000"/>
              </w:rPr>
              <w:t>4</w:t>
            </w:r>
            <w:r w:rsidR="00147524">
              <w:rPr>
                <w:rFonts w:cs="Poppins"/>
                <w:color w:val="000000"/>
              </w:rPr>
              <w:t>.</w:t>
            </w:r>
            <w:r w:rsidRPr="002204D1">
              <w:rPr>
                <w:rFonts w:cs="Poppins"/>
                <w:color w:val="000000"/>
              </w:rPr>
              <w:t>2</w:t>
            </w:r>
          </w:p>
        </w:tc>
      </w:tr>
      <w:tr w:rsidR="009B251A" w:rsidRPr="002204D1" w14:paraId="4F034BE7" w14:textId="77777777" w:rsidTr="009B251A">
        <w:tc>
          <w:tcPr>
            <w:tcW w:w="2954" w:type="dxa"/>
            <w:shd w:val="clear" w:color="auto" w:fill="D9E2F3" w:themeFill="accent1" w:themeFillTint="33"/>
          </w:tcPr>
          <w:p w14:paraId="1A1A7567" w14:textId="77777777" w:rsidR="005B771D" w:rsidRPr="002204D1" w:rsidRDefault="005B771D" w:rsidP="009B251A">
            <w:pPr>
              <w:spacing w:line="240" w:lineRule="auto"/>
            </w:pPr>
            <w:r w:rsidRPr="002204D1">
              <w:t>Shiremoor</w:t>
            </w:r>
          </w:p>
        </w:tc>
        <w:tc>
          <w:tcPr>
            <w:tcW w:w="2268" w:type="dxa"/>
            <w:shd w:val="clear" w:color="auto" w:fill="D9E2F3" w:themeFill="accent1" w:themeFillTint="33"/>
          </w:tcPr>
          <w:p w14:paraId="0416C338" w14:textId="77777777" w:rsidR="005B771D" w:rsidRPr="002204D1" w:rsidRDefault="005B771D" w:rsidP="009B251A">
            <w:pPr>
              <w:spacing w:line="240" w:lineRule="auto"/>
              <w:jc w:val="right"/>
            </w:pPr>
            <w:r w:rsidRPr="002204D1">
              <w:t>13</w:t>
            </w:r>
          </w:p>
        </w:tc>
        <w:tc>
          <w:tcPr>
            <w:tcW w:w="2164" w:type="dxa"/>
            <w:shd w:val="clear" w:color="auto" w:fill="D9E2F3" w:themeFill="accent1" w:themeFillTint="33"/>
          </w:tcPr>
          <w:p w14:paraId="784BE3CD" w14:textId="77777777" w:rsidR="005B771D" w:rsidRPr="002204D1" w:rsidRDefault="005B771D" w:rsidP="009B251A">
            <w:pPr>
              <w:spacing w:line="240" w:lineRule="auto"/>
              <w:jc w:val="right"/>
            </w:pPr>
            <w:r w:rsidRPr="002204D1">
              <w:t>9,131</w:t>
            </w:r>
          </w:p>
        </w:tc>
        <w:tc>
          <w:tcPr>
            <w:tcW w:w="0" w:type="auto"/>
            <w:shd w:val="clear" w:color="auto" w:fill="D9E2F3" w:themeFill="accent1" w:themeFillTint="33"/>
            <w:vAlign w:val="center"/>
          </w:tcPr>
          <w:p w14:paraId="126F32FA" w14:textId="5E12850E" w:rsidR="005B771D" w:rsidRPr="002204D1" w:rsidRDefault="005B771D" w:rsidP="009B251A">
            <w:pPr>
              <w:spacing w:line="240" w:lineRule="auto"/>
              <w:jc w:val="right"/>
            </w:pPr>
            <w:r w:rsidRPr="002204D1">
              <w:rPr>
                <w:rFonts w:cs="Poppins"/>
                <w:color w:val="000000"/>
              </w:rPr>
              <w:t>14</w:t>
            </w:r>
            <w:r w:rsidR="00147524">
              <w:rPr>
                <w:rFonts w:cs="Poppins"/>
                <w:color w:val="000000"/>
              </w:rPr>
              <w:t>.</w:t>
            </w:r>
            <w:r w:rsidRPr="002204D1">
              <w:rPr>
                <w:rFonts w:cs="Poppins"/>
                <w:color w:val="000000"/>
              </w:rPr>
              <w:t>2</w:t>
            </w:r>
          </w:p>
        </w:tc>
      </w:tr>
      <w:tr w:rsidR="009B251A" w:rsidRPr="002204D1" w14:paraId="604389D7" w14:textId="77777777" w:rsidTr="009B251A">
        <w:tc>
          <w:tcPr>
            <w:tcW w:w="2954" w:type="dxa"/>
            <w:shd w:val="clear" w:color="auto" w:fill="D9E2F3" w:themeFill="accent1" w:themeFillTint="33"/>
          </w:tcPr>
          <w:p w14:paraId="4C83C7C4" w14:textId="77777777" w:rsidR="005B771D" w:rsidRPr="002204D1" w:rsidRDefault="005B771D" w:rsidP="009B251A">
            <w:pPr>
              <w:spacing w:line="240" w:lineRule="auto"/>
            </w:pPr>
            <w:r w:rsidRPr="002204D1">
              <w:t>St Mary’s</w:t>
            </w:r>
          </w:p>
        </w:tc>
        <w:tc>
          <w:tcPr>
            <w:tcW w:w="2268" w:type="dxa"/>
            <w:shd w:val="clear" w:color="auto" w:fill="D9E2F3" w:themeFill="accent1" w:themeFillTint="33"/>
          </w:tcPr>
          <w:p w14:paraId="769384CA" w14:textId="77777777" w:rsidR="005B771D" w:rsidRPr="002204D1" w:rsidRDefault="005B771D" w:rsidP="009B251A">
            <w:pPr>
              <w:spacing w:line="240" w:lineRule="auto"/>
              <w:jc w:val="right"/>
            </w:pPr>
            <w:r w:rsidRPr="002204D1">
              <w:t>4</w:t>
            </w:r>
          </w:p>
        </w:tc>
        <w:tc>
          <w:tcPr>
            <w:tcW w:w="2164" w:type="dxa"/>
            <w:shd w:val="clear" w:color="auto" w:fill="D9E2F3" w:themeFill="accent1" w:themeFillTint="33"/>
          </w:tcPr>
          <w:p w14:paraId="145A2A61" w14:textId="77777777" w:rsidR="005B771D" w:rsidRPr="002204D1" w:rsidRDefault="005B771D" w:rsidP="009B251A">
            <w:pPr>
              <w:spacing w:line="240" w:lineRule="auto"/>
              <w:jc w:val="right"/>
            </w:pPr>
            <w:r w:rsidRPr="002204D1">
              <w:t>10,377</w:t>
            </w:r>
          </w:p>
        </w:tc>
        <w:tc>
          <w:tcPr>
            <w:tcW w:w="0" w:type="auto"/>
            <w:shd w:val="clear" w:color="auto" w:fill="D9E2F3" w:themeFill="accent1" w:themeFillTint="33"/>
            <w:vAlign w:val="center"/>
          </w:tcPr>
          <w:p w14:paraId="62187B6A" w14:textId="07874341" w:rsidR="005B771D" w:rsidRPr="002204D1" w:rsidRDefault="005B771D" w:rsidP="009B251A">
            <w:pPr>
              <w:spacing w:line="240" w:lineRule="auto"/>
              <w:jc w:val="right"/>
            </w:pPr>
            <w:r w:rsidRPr="002204D1">
              <w:rPr>
                <w:rFonts w:cs="Poppins"/>
                <w:color w:val="000000"/>
              </w:rPr>
              <w:t>3</w:t>
            </w:r>
            <w:r w:rsidR="00147524">
              <w:rPr>
                <w:rFonts w:cs="Poppins"/>
                <w:color w:val="000000"/>
              </w:rPr>
              <w:t>.</w:t>
            </w:r>
            <w:r w:rsidRPr="002204D1">
              <w:rPr>
                <w:rFonts w:cs="Poppins"/>
                <w:color w:val="000000"/>
              </w:rPr>
              <w:t>9</w:t>
            </w:r>
          </w:p>
        </w:tc>
      </w:tr>
      <w:tr w:rsidR="009B251A" w:rsidRPr="002204D1" w14:paraId="28AE1153" w14:textId="77777777" w:rsidTr="009B251A">
        <w:tc>
          <w:tcPr>
            <w:tcW w:w="2954" w:type="dxa"/>
            <w:shd w:val="clear" w:color="auto" w:fill="D9E2F3" w:themeFill="accent1" w:themeFillTint="33"/>
          </w:tcPr>
          <w:p w14:paraId="1A0BF25F" w14:textId="77777777" w:rsidR="005B771D" w:rsidRPr="002204D1" w:rsidRDefault="005B771D" w:rsidP="009B251A">
            <w:pPr>
              <w:spacing w:line="240" w:lineRule="auto"/>
            </w:pPr>
            <w:r w:rsidRPr="002204D1">
              <w:t>Tynemouth</w:t>
            </w:r>
          </w:p>
        </w:tc>
        <w:tc>
          <w:tcPr>
            <w:tcW w:w="2268" w:type="dxa"/>
            <w:shd w:val="clear" w:color="auto" w:fill="D9E2F3" w:themeFill="accent1" w:themeFillTint="33"/>
          </w:tcPr>
          <w:p w14:paraId="575DE440" w14:textId="77777777" w:rsidR="005B771D" w:rsidRPr="002204D1" w:rsidRDefault="005B771D" w:rsidP="009B251A">
            <w:pPr>
              <w:spacing w:line="240" w:lineRule="auto"/>
              <w:jc w:val="right"/>
            </w:pPr>
            <w:r w:rsidRPr="002204D1">
              <w:t>4</w:t>
            </w:r>
          </w:p>
        </w:tc>
        <w:tc>
          <w:tcPr>
            <w:tcW w:w="2164" w:type="dxa"/>
            <w:shd w:val="clear" w:color="auto" w:fill="D9E2F3" w:themeFill="accent1" w:themeFillTint="33"/>
          </w:tcPr>
          <w:p w14:paraId="480A5EDD" w14:textId="77777777" w:rsidR="005B771D" w:rsidRPr="002204D1" w:rsidRDefault="005B771D" w:rsidP="009B251A">
            <w:pPr>
              <w:spacing w:line="240" w:lineRule="auto"/>
              <w:jc w:val="right"/>
            </w:pPr>
            <w:r w:rsidRPr="002204D1">
              <w:t>10,521</w:t>
            </w:r>
          </w:p>
        </w:tc>
        <w:tc>
          <w:tcPr>
            <w:tcW w:w="0" w:type="auto"/>
            <w:shd w:val="clear" w:color="auto" w:fill="D9E2F3" w:themeFill="accent1" w:themeFillTint="33"/>
            <w:vAlign w:val="center"/>
          </w:tcPr>
          <w:p w14:paraId="50E6288A" w14:textId="6B2BCDEE" w:rsidR="005B771D" w:rsidRPr="002204D1" w:rsidRDefault="005B771D" w:rsidP="009B251A">
            <w:pPr>
              <w:spacing w:line="240" w:lineRule="auto"/>
              <w:jc w:val="right"/>
            </w:pPr>
            <w:r w:rsidRPr="002204D1">
              <w:rPr>
                <w:rFonts w:cs="Poppins"/>
                <w:color w:val="000000"/>
              </w:rPr>
              <w:t>3</w:t>
            </w:r>
            <w:r w:rsidR="00147524">
              <w:rPr>
                <w:rFonts w:cs="Poppins"/>
                <w:color w:val="000000"/>
              </w:rPr>
              <w:t>.</w:t>
            </w:r>
            <w:r w:rsidRPr="002204D1">
              <w:rPr>
                <w:rFonts w:cs="Poppins"/>
                <w:color w:val="000000"/>
              </w:rPr>
              <w:t>8</w:t>
            </w:r>
          </w:p>
        </w:tc>
      </w:tr>
      <w:tr w:rsidR="009B251A" w:rsidRPr="002204D1" w14:paraId="05AA4ED8" w14:textId="77777777" w:rsidTr="009B251A">
        <w:tc>
          <w:tcPr>
            <w:tcW w:w="2954" w:type="dxa"/>
            <w:shd w:val="clear" w:color="auto" w:fill="D9E2F3" w:themeFill="accent1" w:themeFillTint="33"/>
          </w:tcPr>
          <w:p w14:paraId="38DB52CD" w14:textId="77777777" w:rsidR="005B771D" w:rsidRPr="002204D1" w:rsidRDefault="005B771D" w:rsidP="009B251A">
            <w:pPr>
              <w:spacing w:line="240" w:lineRule="auto"/>
            </w:pPr>
            <w:r w:rsidRPr="002204D1">
              <w:t>Wallsend Central</w:t>
            </w:r>
          </w:p>
        </w:tc>
        <w:tc>
          <w:tcPr>
            <w:tcW w:w="2268" w:type="dxa"/>
            <w:shd w:val="clear" w:color="auto" w:fill="D9E2F3" w:themeFill="accent1" w:themeFillTint="33"/>
          </w:tcPr>
          <w:p w14:paraId="51045E69" w14:textId="77777777" w:rsidR="005B771D" w:rsidRPr="002204D1" w:rsidRDefault="005B771D" w:rsidP="009B251A">
            <w:pPr>
              <w:spacing w:line="240" w:lineRule="auto"/>
              <w:jc w:val="right"/>
            </w:pPr>
            <w:r w:rsidRPr="002204D1">
              <w:t>36</w:t>
            </w:r>
          </w:p>
        </w:tc>
        <w:tc>
          <w:tcPr>
            <w:tcW w:w="2164" w:type="dxa"/>
            <w:shd w:val="clear" w:color="auto" w:fill="D9E2F3" w:themeFill="accent1" w:themeFillTint="33"/>
          </w:tcPr>
          <w:p w14:paraId="2FA6B71D" w14:textId="77777777" w:rsidR="005B771D" w:rsidRPr="002204D1" w:rsidRDefault="005B771D" w:rsidP="009B251A">
            <w:pPr>
              <w:spacing w:line="240" w:lineRule="auto"/>
              <w:jc w:val="right"/>
            </w:pPr>
            <w:r w:rsidRPr="002204D1">
              <w:t>10,923</w:t>
            </w:r>
          </w:p>
        </w:tc>
        <w:tc>
          <w:tcPr>
            <w:tcW w:w="0" w:type="auto"/>
            <w:shd w:val="clear" w:color="auto" w:fill="D9E2F3" w:themeFill="accent1" w:themeFillTint="33"/>
            <w:vAlign w:val="center"/>
          </w:tcPr>
          <w:p w14:paraId="29CBACA0" w14:textId="0A8821F2" w:rsidR="005B771D" w:rsidRPr="002204D1" w:rsidRDefault="005B771D" w:rsidP="009B251A">
            <w:pPr>
              <w:spacing w:line="240" w:lineRule="auto"/>
              <w:jc w:val="right"/>
            </w:pPr>
            <w:r w:rsidRPr="002204D1">
              <w:rPr>
                <w:rFonts w:cs="Poppins"/>
                <w:color w:val="000000"/>
              </w:rPr>
              <w:t>33</w:t>
            </w:r>
            <w:r w:rsidR="00147524">
              <w:rPr>
                <w:rFonts w:cs="Poppins"/>
                <w:color w:val="000000"/>
              </w:rPr>
              <w:t>.</w:t>
            </w:r>
            <w:r w:rsidRPr="002204D1">
              <w:rPr>
                <w:rFonts w:cs="Poppins"/>
                <w:color w:val="000000"/>
              </w:rPr>
              <w:t>0</w:t>
            </w:r>
          </w:p>
        </w:tc>
      </w:tr>
      <w:tr w:rsidR="009B251A" w:rsidRPr="002204D1" w14:paraId="5E3248DB" w14:textId="77777777" w:rsidTr="009B251A">
        <w:tc>
          <w:tcPr>
            <w:tcW w:w="2954" w:type="dxa"/>
            <w:shd w:val="clear" w:color="auto" w:fill="D9E2F3" w:themeFill="accent1" w:themeFillTint="33"/>
          </w:tcPr>
          <w:p w14:paraId="719F6A57" w14:textId="77777777" w:rsidR="005B771D" w:rsidRPr="002204D1" w:rsidRDefault="005B771D" w:rsidP="009B251A">
            <w:pPr>
              <w:spacing w:line="240" w:lineRule="auto"/>
            </w:pPr>
            <w:r w:rsidRPr="002204D1">
              <w:t xml:space="preserve">Wallsend North </w:t>
            </w:r>
          </w:p>
        </w:tc>
        <w:tc>
          <w:tcPr>
            <w:tcW w:w="2268" w:type="dxa"/>
            <w:shd w:val="clear" w:color="auto" w:fill="D9E2F3" w:themeFill="accent1" w:themeFillTint="33"/>
          </w:tcPr>
          <w:p w14:paraId="0BBF7C73" w14:textId="77777777" w:rsidR="005B771D" w:rsidRPr="002204D1" w:rsidRDefault="005B771D" w:rsidP="009B251A">
            <w:pPr>
              <w:spacing w:line="240" w:lineRule="auto"/>
              <w:jc w:val="right"/>
            </w:pPr>
            <w:r w:rsidRPr="002204D1">
              <w:t>5</w:t>
            </w:r>
          </w:p>
        </w:tc>
        <w:tc>
          <w:tcPr>
            <w:tcW w:w="2164" w:type="dxa"/>
            <w:shd w:val="clear" w:color="auto" w:fill="D9E2F3" w:themeFill="accent1" w:themeFillTint="33"/>
          </w:tcPr>
          <w:p w14:paraId="4C161088" w14:textId="77777777" w:rsidR="005B771D" w:rsidRPr="002204D1" w:rsidRDefault="005B771D" w:rsidP="009B251A">
            <w:pPr>
              <w:spacing w:line="240" w:lineRule="auto"/>
              <w:jc w:val="right"/>
            </w:pPr>
            <w:r w:rsidRPr="002204D1">
              <w:t>11,970</w:t>
            </w:r>
          </w:p>
        </w:tc>
        <w:tc>
          <w:tcPr>
            <w:tcW w:w="0" w:type="auto"/>
            <w:shd w:val="clear" w:color="auto" w:fill="D9E2F3" w:themeFill="accent1" w:themeFillTint="33"/>
            <w:vAlign w:val="center"/>
          </w:tcPr>
          <w:p w14:paraId="0585198F" w14:textId="238AE568" w:rsidR="005B771D" w:rsidRPr="002204D1" w:rsidRDefault="005B771D" w:rsidP="009B251A">
            <w:pPr>
              <w:spacing w:line="240" w:lineRule="auto"/>
              <w:jc w:val="right"/>
            </w:pPr>
            <w:r w:rsidRPr="002204D1">
              <w:rPr>
                <w:rFonts w:cs="Poppins"/>
                <w:color w:val="000000"/>
              </w:rPr>
              <w:t>4</w:t>
            </w:r>
            <w:r w:rsidR="00147524">
              <w:rPr>
                <w:rFonts w:cs="Poppins"/>
                <w:color w:val="000000"/>
              </w:rPr>
              <w:t>.</w:t>
            </w:r>
            <w:r w:rsidRPr="002204D1">
              <w:rPr>
                <w:rFonts w:cs="Poppins"/>
                <w:color w:val="000000"/>
              </w:rPr>
              <w:t>2</w:t>
            </w:r>
          </w:p>
        </w:tc>
      </w:tr>
      <w:tr w:rsidR="009B251A" w:rsidRPr="002204D1" w14:paraId="2F2AAEE7" w14:textId="77777777" w:rsidTr="009B251A">
        <w:tc>
          <w:tcPr>
            <w:tcW w:w="2954" w:type="dxa"/>
            <w:shd w:val="clear" w:color="auto" w:fill="D9E2F3" w:themeFill="accent1" w:themeFillTint="33"/>
          </w:tcPr>
          <w:p w14:paraId="4A21E574" w14:textId="77777777" w:rsidR="005B771D" w:rsidRPr="002204D1" w:rsidRDefault="005B771D" w:rsidP="009B251A">
            <w:pPr>
              <w:spacing w:line="240" w:lineRule="auto"/>
            </w:pPr>
            <w:r w:rsidRPr="002204D1">
              <w:t>Weetslade</w:t>
            </w:r>
          </w:p>
        </w:tc>
        <w:tc>
          <w:tcPr>
            <w:tcW w:w="2268" w:type="dxa"/>
            <w:shd w:val="clear" w:color="auto" w:fill="D9E2F3" w:themeFill="accent1" w:themeFillTint="33"/>
          </w:tcPr>
          <w:p w14:paraId="116C8290" w14:textId="77777777" w:rsidR="005B771D" w:rsidRPr="002204D1" w:rsidRDefault="005B771D" w:rsidP="009B251A">
            <w:pPr>
              <w:spacing w:line="240" w:lineRule="auto"/>
              <w:jc w:val="right"/>
            </w:pPr>
            <w:r w:rsidRPr="002204D1">
              <w:t>7</w:t>
            </w:r>
          </w:p>
        </w:tc>
        <w:tc>
          <w:tcPr>
            <w:tcW w:w="2164" w:type="dxa"/>
            <w:shd w:val="clear" w:color="auto" w:fill="D9E2F3" w:themeFill="accent1" w:themeFillTint="33"/>
          </w:tcPr>
          <w:p w14:paraId="0AD9859D" w14:textId="77777777" w:rsidR="005B771D" w:rsidRPr="002204D1" w:rsidRDefault="005B771D" w:rsidP="009B251A">
            <w:pPr>
              <w:spacing w:line="240" w:lineRule="auto"/>
              <w:jc w:val="right"/>
            </w:pPr>
            <w:r w:rsidRPr="002204D1">
              <w:t>10,691</w:t>
            </w:r>
          </w:p>
        </w:tc>
        <w:tc>
          <w:tcPr>
            <w:tcW w:w="0" w:type="auto"/>
            <w:shd w:val="clear" w:color="auto" w:fill="D9E2F3" w:themeFill="accent1" w:themeFillTint="33"/>
            <w:vAlign w:val="center"/>
          </w:tcPr>
          <w:p w14:paraId="55E78D75" w14:textId="228F8BDE" w:rsidR="005B771D" w:rsidRPr="002204D1" w:rsidRDefault="005B771D" w:rsidP="009B251A">
            <w:pPr>
              <w:spacing w:line="240" w:lineRule="auto"/>
              <w:jc w:val="right"/>
            </w:pPr>
            <w:r w:rsidRPr="002204D1">
              <w:rPr>
                <w:rFonts w:cs="Poppins"/>
                <w:color w:val="000000"/>
              </w:rPr>
              <w:t>6</w:t>
            </w:r>
            <w:r w:rsidR="00147524">
              <w:rPr>
                <w:rFonts w:cs="Poppins"/>
                <w:color w:val="000000"/>
              </w:rPr>
              <w:t>.</w:t>
            </w:r>
            <w:r w:rsidRPr="002204D1">
              <w:rPr>
                <w:rFonts w:cs="Poppins"/>
                <w:color w:val="000000"/>
              </w:rPr>
              <w:t>5</w:t>
            </w:r>
          </w:p>
        </w:tc>
      </w:tr>
      <w:tr w:rsidR="009B251A" w:rsidRPr="002204D1" w14:paraId="0FF49C0F" w14:textId="77777777" w:rsidTr="009B251A">
        <w:tc>
          <w:tcPr>
            <w:tcW w:w="2954" w:type="dxa"/>
            <w:shd w:val="clear" w:color="auto" w:fill="D9E2F3" w:themeFill="accent1" w:themeFillTint="33"/>
          </w:tcPr>
          <w:p w14:paraId="13848EE4" w14:textId="77777777" w:rsidR="005B771D" w:rsidRPr="002204D1" w:rsidRDefault="005B771D" w:rsidP="009B251A">
            <w:pPr>
              <w:spacing w:line="240" w:lineRule="auto"/>
            </w:pPr>
            <w:r w:rsidRPr="002204D1">
              <w:t xml:space="preserve">Whitley Bay North </w:t>
            </w:r>
          </w:p>
        </w:tc>
        <w:tc>
          <w:tcPr>
            <w:tcW w:w="2268" w:type="dxa"/>
            <w:shd w:val="clear" w:color="auto" w:fill="D9E2F3" w:themeFill="accent1" w:themeFillTint="33"/>
          </w:tcPr>
          <w:p w14:paraId="5F6A726E" w14:textId="77777777" w:rsidR="005B771D" w:rsidRPr="002204D1" w:rsidRDefault="005B771D" w:rsidP="009B251A">
            <w:pPr>
              <w:spacing w:line="240" w:lineRule="auto"/>
              <w:jc w:val="right"/>
            </w:pPr>
            <w:r w:rsidRPr="002204D1">
              <w:t>24</w:t>
            </w:r>
          </w:p>
        </w:tc>
        <w:tc>
          <w:tcPr>
            <w:tcW w:w="2164" w:type="dxa"/>
            <w:shd w:val="clear" w:color="auto" w:fill="D9E2F3" w:themeFill="accent1" w:themeFillTint="33"/>
          </w:tcPr>
          <w:p w14:paraId="11B4C93E" w14:textId="77777777" w:rsidR="005B771D" w:rsidRPr="002204D1" w:rsidRDefault="005B771D" w:rsidP="009B251A">
            <w:pPr>
              <w:spacing w:line="240" w:lineRule="auto"/>
              <w:jc w:val="right"/>
            </w:pPr>
            <w:r w:rsidRPr="002204D1">
              <w:t>10,614</w:t>
            </w:r>
          </w:p>
        </w:tc>
        <w:tc>
          <w:tcPr>
            <w:tcW w:w="0" w:type="auto"/>
            <w:shd w:val="clear" w:color="auto" w:fill="D9E2F3" w:themeFill="accent1" w:themeFillTint="33"/>
            <w:vAlign w:val="center"/>
          </w:tcPr>
          <w:p w14:paraId="5F991CD9" w14:textId="219F7901" w:rsidR="005B771D" w:rsidRPr="002204D1" w:rsidRDefault="005B771D" w:rsidP="009B251A">
            <w:pPr>
              <w:spacing w:line="240" w:lineRule="auto"/>
              <w:jc w:val="right"/>
            </w:pPr>
            <w:r w:rsidRPr="002204D1">
              <w:rPr>
                <w:rFonts w:cs="Poppins"/>
                <w:color w:val="000000"/>
              </w:rPr>
              <w:t>22</w:t>
            </w:r>
            <w:r w:rsidR="00147524">
              <w:rPr>
                <w:rFonts w:cs="Poppins"/>
                <w:color w:val="000000"/>
              </w:rPr>
              <w:t>.</w:t>
            </w:r>
            <w:r w:rsidRPr="002204D1">
              <w:rPr>
                <w:rFonts w:cs="Poppins"/>
                <w:color w:val="000000"/>
              </w:rPr>
              <w:t>6</w:t>
            </w:r>
            <w:r w:rsidR="00DE4F82">
              <w:rPr>
                <w:rFonts w:cs="Poppins"/>
                <w:color w:val="000000"/>
              </w:rPr>
              <w:t>0</w:t>
            </w:r>
          </w:p>
        </w:tc>
      </w:tr>
      <w:tr w:rsidR="005B771D" w:rsidRPr="002204D1" w14:paraId="75BC2651" w14:textId="77777777" w:rsidTr="009B251A">
        <w:tc>
          <w:tcPr>
            <w:tcW w:w="2954" w:type="dxa"/>
            <w:shd w:val="clear" w:color="auto" w:fill="D9E2F3" w:themeFill="accent1" w:themeFillTint="33"/>
          </w:tcPr>
          <w:p w14:paraId="6C7178F4" w14:textId="7D0FB895" w:rsidR="005B771D" w:rsidRPr="002204D1" w:rsidRDefault="009B251A" w:rsidP="009B251A">
            <w:pPr>
              <w:spacing w:line="240" w:lineRule="auto"/>
            </w:pPr>
            <w:r>
              <w:t>North Tyneside</w:t>
            </w:r>
          </w:p>
        </w:tc>
        <w:tc>
          <w:tcPr>
            <w:tcW w:w="2268" w:type="dxa"/>
            <w:shd w:val="clear" w:color="auto" w:fill="D9E2F3" w:themeFill="accent1" w:themeFillTint="33"/>
          </w:tcPr>
          <w:p w14:paraId="583A18CF" w14:textId="47FBE6EF" w:rsidR="005B771D" w:rsidRPr="002204D1" w:rsidRDefault="005B771D" w:rsidP="009B251A">
            <w:pPr>
              <w:spacing w:line="240" w:lineRule="auto"/>
              <w:jc w:val="right"/>
            </w:pPr>
            <w:r>
              <w:t>211</w:t>
            </w:r>
          </w:p>
        </w:tc>
        <w:tc>
          <w:tcPr>
            <w:tcW w:w="2164" w:type="dxa"/>
            <w:shd w:val="clear" w:color="auto" w:fill="D9E2F3" w:themeFill="accent1" w:themeFillTint="33"/>
          </w:tcPr>
          <w:p w14:paraId="47D693E4" w14:textId="4F58FE24" w:rsidR="005B771D" w:rsidRPr="002204D1" w:rsidRDefault="005B771D" w:rsidP="009B251A">
            <w:pPr>
              <w:spacing w:line="240" w:lineRule="auto"/>
              <w:jc w:val="right"/>
            </w:pPr>
            <w:r>
              <w:t>210,487</w:t>
            </w:r>
          </w:p>
        </w:tc>
        <w:tc>
          <w:tcPr>
            <w:tcW w:w="0" w:type="auto"/>
            <w:shd w:val="clear" w:color="auto" w:fill="D9E2F3" w:themeFill="accent1" w:themeFillTint="33"/>
            <w:vAlign w:val="center"/>
          </w:tcPr>
          <w:p w14:paraId="0DF471BD" w14:textId="3787BCBB" w:rsidR="005B771D" w:rsidRPr="002204D1" w:rsidRDefault="00717573" w:rsidP="009B251A">
            <w:pPr>
              <w:spacing w:line="240" w:lineRule="auto"/>
              <w:jc w:val="right"/>
              <w:rPr>
                <w:rFonts w:cs="Poppins"/>
                <w:color w:val="000000"/>
              </w:rPr>
            </w:pPr>
            <w:r>
              <w:rPr>
                <w:rFonts w:cs="Poppins"/>
                <w:color w:val="000000"/>
              </w:rPr>
              <w:t>10</w:t>
            </w:r>
            <w:r w:rsidR="00147524">
              <w:rPr>
                <w:rFonts w:cs="Poppins"/>
                <w:color w:val="000000"/>
              </w:rPr>
              <w:t>.</w:t>
            </w:r>
            <w:r w:rsidR="00DE4F82">
              <w:rPr>
                <w:rFonts w:cs="Poppins"/>
                <w:color w:val="000000"/>
              </w:rPr>
              <w:t>0</w:t>
            </w:r>
          </w:p>
        </w:tc>
      </w:tr>
    </w:tbl>
    <w:p w14:paraId="231A2093" w14:textId="77777777" w:rsidR="005B771D" w:rsidRDefault="005B771D" w:rsidP="004903FF">
      <w:pPr>
        <w:spacing w:after="240"/>
        <w:rPr>
          <w:szCs w:val="24"/>
        </w:rPr>
      </w:pPr>
    </w:p>
    <w:p w14:paraId="1DE992E8" w14:textId="77777777" w:rsidR="009B251A" w:rsidRDefault="009B251A" w:rsidP="0049109D">
      <w:pPr>
        <w:pStyle w:val="Heading3"/>
        <w:numPr>
          <w:ilvl w:val="0"/>
          <w:numId w:val="12"/>
        </w:numPr>
        <w:spacing w:after="240"/>
        <w:rPr>
          <w:rFonts w:ascii="Poppins" w:hAnsi="Poppins" w:cs="Poppins"/>
          <w:b/>
          <w:bCs/>
          <w:color w:val="auto"/>
        </w:rPr>
      </w:pPr>
      <w:bookmarkStart w:id="29" w:name="_Toc178320198"/>
      <w:bookmarkStart w:id="30" w:name="_Toc180660529"/>
      <w:bookmarkStart w:id="31" w:name="_Toc180762277"/>
      <w:r>
        <w:rPr>
          <w:rFonts w:ascii="Poppins" w:hAnsi="Poppins" w:cs="Poppins"/>
          <w:b/>
          <w:bCs/>
          <w:color w:val="auto"/>
        </w:rPr>
        <w:t xml:space="preserve">Proximity of Hot Food Takeaways to </w:t>
      </w:r>
      <w:r w:rsidRPr="00E61F10">
        <w:rPr>
          <w:rFonts w:ascii="Poppins" w:hAnsi="Poppins" w:cs="Poppins"/>
          <w:b/>
          <w:bCs/>
          <w:color w:val="auto"/>
        </w:rPr>
        <w:t>Schools</w:t>
      </w:r>
      <w:bookmarkEnd w:id="29"/>
      <w:bookmarkEnd w:id="30"/>
      <w:bookmarkEnd w:id="31"/>
    </w:p>
    <w:p w14:paraId="66F70AD4" w14:textId="77777777" w:rsidR="009B251A" w:rsidRPr="009024C1" w:rsidRDefault="009B251A" w:rsidP="009B251A">
      <w:pPr>
        <w:spacing w:after="240"/>
        <w:rPr>
          <w:szCs w:val="24"/>
        </w:rPr>
      </w:pPr>
      <w:r w:rsidRPr="009024C1">
        <w:rPr>
          <w:szCs w:val="24"/>
        </w:rPr>
        <w:t>In North Tyneside, 9 out of the 17 Middle and Secondary Schools have</w:t>
      </w:r>
      <w:r>
        <w:rPr>
          <w:szCs w:val="24"/>
        </w:rPr>
        <w:t xml:space="preserve"> hot food</w:t>
      </w:r>
      <w:r w:rsidRPr="009024C1">
        <w:rPr>
          <w:szCs w:val="24"/>
        </w:rPr>
        <w:t xml:space="preserve"> takeaways located within a 400m radius of the schools. Restricting the development of hot food takeaways within a reasonable walking distance of the school (i.e. a 400m radius) will limit exposure</w:t>
      </w:r>
      <w:r>
        <w:rPr>
          <w:szCs w:val="24"/>
        </w:rPr>
        <w:t xml:space="preserve"> to children and access</w:t>
      </w:r>
      <w:r w:rsidRPr="009024C1">
        <w:rPr>
          <w:szCs w:val="24"/>
        </w:rPr>
        <w:t xml:space="preserve"> to poor food choices.</w:t>
      </w:r>
      <w:r>
        <w:rPr>
          <w:szCs w:val="24"/>
        </w:rPr>
        <w:t xml:space="preserve"> </w:t>
      </w:r>
    </w:p>
    <w:p w14:paraId="4F31E98D" w14:textId="448EF060" w:rsidR="009B251A" w:rsidRPr="009024C1" w:rsidRDefault="009B251A" w:rsidP="009B251A">
      <w:pPr>
        <w:spacing w:after="240"/>
        <w:rPr>
          <w:szCs w:val="24"/>
        </w:rPr>
      </w:pPr>
      <w:r>
        <w:rPr>
          <w:szCs w:val="24"/>
        </w:rPr>
        <w:t xml:space="preserve">Map 3 </w:t>
      </w:r>
      <w:r w:rsidR="00655660">
        <w:rPr>
          <w:szCs w:val="24"/>
        </w:rPr>
        <w:t xml:space="preserve">overleaf, </w:t>
      </w:r>
      <w:r w:rsidRPr="009024C1">
        <w:rPr>
          <w:szCs w:val="24"/>
        </w:rPr>
        <w:t>indicate</w:t>
      </w:r>
      <w:r>
        <w:rPr>
          <w:szCs w:val="24"/>
        </w:rPr>
        <w:t>s</w:t>
      </w:r>
      <w:r w:rsidRPr="009024C1">
        <w:rPr>
          <w:szCs w:val="24"/>
        </w:rPr>
        <w:t xml:space="preserve"> the location of hot food takeaways in relation to schools and parks, including a buffer zone of 400m which relates to the Local Plan </w:t>
      </w:r>
      <w:r>
        <w:rPr>
          <w:szCs w:val="24"/>
        </w:rPr>
        <w:t>p</w:t>
      </w:r>
      <w:r w:rsidRPr="009024C1">
        <w:rPr>
          <w:szCs w:val="24"/>
        </w:rPr>
        <w:t xml:space="preserve">olicy DM3.7. </w:t>
      </w:r>
    </w:p>
    <w:p w14:paraId="4E25354C" w14:textId="324AAFDC" w:rsidR="008D70BA" w:rsidRPr="009024C1" w:rsidRDefault="008D70BA" w:rsidP="004903FF">
      <w:pPr>
        <w:spacing w:after="240"/>
        <w:rPr>
          <w:szCs w:val="24"/>
        </w:rPr>
      </w:pPr>
    </w:p>
    <w:p w14:paraId="59318BAB" w14:textId="77A36BD0" w:rsidR="006D2A69" w:rsidRDefault="006D2A69" w:rsidP="004903FF">
      <w:pPr>
        <w:spacing w:after="240"/>
        <w:rPr>
          <w:szCs w:val="24"/>
        </w:rPr>
      </w:pPr>
    </w:p>
    <w:p w14:paraId="30E9B597" w14:textId="67B30F37" w:rsidR="00EB5433" w:rsidRPr="008C229D" w:rsidRDefault="00637B2E" w:rsidP="004903FF">
      <w:pPr>
        <w:spacing w:after="240"/>
        <w:rPr>
          <w:b/>
          <w:bCs/>
          <w:szCs w:val="24"/>
        </w:rPr>
        <w:sectPr w:rsidR="00EB5433" w:rsidRPr="008C229D" w:rsidSect="000D6424">
          <w:pgSz w:w="11906" w:h="16838"/>
          <w:pgMar w:top="1440" w:right="1440" w:bottom="1440" w:left="1440" w:header="708" w:footer="708" w:gutter="0"/>
          <w:cols w:space="708"/>
          <w:titlePg/>
          <w:docGrid w:linePitch="360"/>
        </w:sectPr>
      </w:pPr>
      <w:r w:rsidRPr="008C229D">
        <w:rPr>
          <w:rFonts w:eastAsiaTheme="majorEastAsia" w:cs="Poppins"/>
          <w:b/>
          <w:bCs/>
          <w:noProof/>
          <w:szCs w:val="24"/>
        </w:rPr>
        <w:lastRenderedPageBreak/>
        <w:drawing>
          <wp:anchor distT="0" distB="0" distL="114300" distR="114300" simplePos="0" relativeHeight="251768832" behindDoc="0" locked="0" layoutInCell="1" allowOverlap="1" wp14:anchorId="49F7CF85" wp14:editId="1ED3D70C">
            <wp:simplePos x="0" y="0"/>
            <wp:positionH relativeFrom="margin">
              <wp:posOffset>-1042670</wp:posOffset>
            </wp:positionH>
            <wp:positionV relativeFrom="paragraph">
              <wp:posOffset>1529080</wp:posOffset>
            </wp:positionV>
            <wp:extent cx="7724140" cy="5459095"/>
            <wp:effectExtent l="8572" t="0" r="0" b="0"/>
            <wp:wrapSquare wrapText="bothSides"/>
            <wp:docPr id="1799349456"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9456" name="Picture 2" descr="A map of a cit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724140" cy="5459095"/>
                    </a:xfrm>
                    <a:prstGeom prst="rect">
                      <a:avLst/>
                    </a:prstGeom>
                  </pic:spPr>
                </pic:pic>
              </a:graphicData>
            </a:graphic>
            <wp14:sizeRelH relativeFrom="margin">
              <wp14:pctWidth>0</wp14:pctWidth>
            </wp14:sizeRelH>
            <wp14:sizeRelV relativeFrom="margin">
              <wp14:pctHeight>0</wp14:pctHeight>
            </wp14:sizeRelV>
          </wp:anchor>
        </w:drawing>
      </w:r>
      <w:r w:rsidRPr="008C229D">
        <w:rPr>
          <w:b/>
          <w:bCs/>
          <w:szCs w:val="24"/>
        </w:rPr>
        <w:t xml:space="preserve">Map </w:t>
      </w:r>
      <w:proofErr w:type="gramStart"/>
      <w:r w:rsidRPr="008C229D">
        <w:rPr>
          <w:b/>
          <w:bCs/>
          <w:szCs w:val="24"/>
        </w:rPr>
        <w:t>3 :</w:t>
      </w:r>
      <w:proofErr w:type="gramEnd"/>
      <w:r w:rsidRPr="008C229D">
        <w:rPr>
          <w:b/>
          <w:bCs/>
          <w:szCs w:val="24"/>
        </w:rPr>
        <w:t xml:space="preserve"> Proximity of takeawa</w:t>
      </w:r>
      <w:r w:rsidR="002763D5" w:rsidRPr="008C229D">
        <w:rPr>
          <w:b/>
          <w:bCs/>
          <w:szCs w:val="24"/>
        </w:rPr>
        <w:t>ys near schools and parks</w:t>
      </w:r>
    </w:p>
    <w:p w14:paraId="74EBCD62" w14:textId="3B5F09D9" w:rsidR="00AC4328" w:rsidRDefault="009165BE" w:rsidP="004903FF">
      <w:pPr>
        <w:pStyle w:val="Heading3"/>
        <w:spacing w:after="240"/>
        <w:rPr>
          <w:rFonts w:ascii="Poppins" w:hAnsi="Poppins" w:cs="Poppins"/>
          <w:b/>
          <w:bCs/>
          <w:color w:val="auto"/>
        </w:rPr>
      </w:pPr>
      <w:bookmarkStart w:id="32" w:name="_Toc180660531"/>
      <w:bookmarkStart w:id="33" w:name="_Toc180762279"/>
      <w:r w:rsidRPr="00E61F10">
        <w:rPr>
          <w:rFonts w:ascii="Poppins" w:hAnsi="Poppins" w:cs="Poppins"/>
          <w:b/>
          <w:bCs/>
          <w:color w:val="auto"/>
        </w:rPr>
        <w:lastRenderedPageBreak/>
        <w:t>North Tyneside’s Retail Centres</w:t>
      </w:r>
      <w:bookmarkEnd w:id="32"/>
      <w:bookmarkEnd w:id="33"/>
    </w:p>
    <w:p w14:paraId="4252A02B" w14:textId="77D2F545" w:rsidR="002778AD" w:rsidRDefault="009165BE" w:rsidP="004903FF">
      <w:pPr>
        <w:autoSpaceDE w:val="0"/>
        <w:autoSpaceDN w:val="0"/>
        <w:adjustRightInd w:val="0"/>
        <w:spacing w:after="240"/>
        <w:rPr>
          <w:rFonts w:cs="Poppins"/>
          <w:kern w:val="0"/>
          <w:szCs w:val="24"/>
        </w:rPr>
      </w:pPr>
      <w:r w:rsidRPr="009024C1">
        <w:rPr>
          <w:rFonts w:cs="Poppins"/>
          <w:kern w:val="0"/>
          <w:szCs w:val="24"/>
        </w:rPr>
        <w:t>An important contributing factor to poor diet and health in certain parts of</w:t>
      </w:r>
      <w:r w:rsidR="002410A3">
        <w:rPr>
          <w:rFonts w:cs="Poppins"/>
          <w:kern w:val="0"/>
          <w:szCs w:val="24"/>
        </w:rPr>
        <w:t xml:space="preserve"> </w:t>
      </w:r>
      <w:r w:rsidRPr="009024C1">
        <w:rPr>
          <w:rFonts w:cs="Poppins"/>
          <w:kern w:val="0"/>
          <w:szCs w:val="24"/>
        </w:rPr>
        <w:t>North Tyneside is the distribution and access to unhealthy eating outlets. In certain locations there is an issue where such uses cluster together, reinforcing the ease of access to unhealthy foods. The hot food takeaway polic</w:t>
      </w:r>
      <w:r w:rsidR="009A43BF">
        <w:rPr>
          <w:rFonts w:cs="Poppins"/>
          <w:kern w:val="0"/>
          <w:szCs w:val="24"/>
        </w:rPr>
        <w:t>y</w:t>
      </w:r>
      <w:r w:rsidRPr="009024C1">
        <w:rPr>
          <w:rFonts w:cs="Poppins"/>
          <w:kern w:val="0"/>
          <w:szCs w:val="24"/>
        </w:rPr>
        <w:t xml:space="preserve"> ha</w:t>
      </w:r>
      <w:r w:rsidR="009A43BF">
        <w:rPr>
          <w:rFonts w:cs="Poppins"/>
          <w:kern w:val="0"/>
          <w:szCs w:val="24"/>
        </w:rPr>
        <w:t>s</w:t>
      </w:r>
      <w:r w:rsidRPr="009024C1">
        <w:rPr>
          <w:rFonts w:cs="Poppins"/>
          <w:kern w:val="0"/>
          <w:szCs w:val="24"/>
        </w:rPr>
        <w:t xml:space="preserve"> been implemented </w:t>
      </w:r>
      <w:proofErr w:type="gramStart"/>
      <w:r w:rsidRPr="009024C1">
        <w:rPr>
          <w:rFonts w:cs="Poppins"/>
          <w:kern w:val="0"/>
          <w:szCs w:val="24"/>
        </w:rPr>
        <w:t>in order to</w:t>
      </w:r>
      <w:proofErr w:type="gramEnd"/>
      <w:r w:rsidRPr="009024C1">
        <w:rPr>
          <w:rFonts w:cs="Poppins"/>
          <w:kern w:val="0"/>
          <w:szCs w:val="24"/>
        </w:rPr>
        <w:t xml:space="preserve"> help control the proliferation of and therefore </w:t>
      </w:r>
      <w:r w:rsidR="009A43BF">
        <w:rPr>
          <w:rFonts w:cs="Poppins"/>
          <w:kern w:val="0"/>
          <w:szCs w:val="24"/>
        </w:rPr>
        <w:t xml:space="preserve">the </w:t>
      </w:r>
      <w:r w:rsidRPr="009024C1">
        <w:rPr>
          <w:rFonts w:cs="Poppins"/>
          <w:kern w:val="0"/>
          <w:szCs w:val="24"/>
        </w:rPr>
        <w:t>access to, such uses.</w:t>
      </w:r>
      <w:r w:rsidR="00043FBC" w:rsidRPr="009024C1">
        <w:rPr>
          <w:rFonts w:cs="Poppins"/>
          <w:kern w:val="0"/>
          <w:szCs w:val="24"/>
        </w:rPr>
        <w:t xml:space="preserve"> </w:t>
      </w:r>
      <w:r w:rsidR="00581735" w:rsidRPr="009024C1">
        <w:rPr>
          <w:rFonts w:cs="Poppins"/>
          <w:kern w:val="0"/>
          <w:szCs w:val="24"/>
        </w:rPr>
        <w:t xml:space="preserve">There are </w:t>
      </w:r>
      <w:r w:rsidR="00877583" w:rsidRPr="009024C1">
        <w:rPr>
          <w:rFonts w:cs="Poppins"/>
          <w:kern w:val="0"/>
          <w:szCs w:val="24"/>
        </w:rPr>
        <w:t>211</w:t>
      </w:r>
      <w:r w:rsidR="00581735" w:rsidRPr="009024C1">
        <w:rPr>
          <w:rFonts w:cs="Poppins"/>
          <w:kern w:val="0"/>
          <w:szCs w:val="24"/>
        </w:rPr>
        <w:t xml:space="preserve"> hot foo</w:t>
      </w:r>
      <w:r w:rsidR="004E74B9">
        <w:rPr>
          <w:rFonts w:cs="Poppins"/>
          <w:kern w:val="0"/>
          <w:szCs w:val="24"/>
        </w:rPr>
        <w:t>d</w:t>
      </w:r>
      <w:r w:rsidR="00581735" w:rsidRPr="009024C1">
        <w:rPr>
          <w:rFonts w:cs="Poppins"/>
          <w:kern w:val="0"/>
          <w:szCs w:val="24"/>
        </w:rPr>
        <w:t xml:space="preserve"> takeaway outlets in total within North Tyneside, 90 of which are located within designated retail centres.  </w:t>
      </w:r>
    </w:p>
    <w:p w14:paraId="48650A9D" w14:textId="45C9011D" w:rsidR="006F154B" w:rsidRPr="009024C1" w:rsidRDefault="006F154B" w:rsidP="006F154B">
      <w:pPr>
        <w:autoSpaceDE w:val="0"/>
        <w:autoSpaceDN w:val="0"/>
        <w:adjustRightInd w:val="0"/>
        <w:spacing w:after="0" w:line="240" w:lineRule="auto"/>
        <w:rPr>
          <w:rFonts w:cs="Poppins"/>
          <w:kern w:val="0"/>
          <w:szCs w:val="24"/>
        </w:rPr>
      </w:pPr>
      <w:r>
        <w:rPr>
          <w:b/>
          <w:bCs/>
          <w:szCs w:val="24"/>
        </w:rPr>
        <w:t>Figure</w:t>
      </w:r>
      <w:r w:rsidRPr="00656EBB">
        <w:rPr>
          <w:b/>
          <w:bCs/>
          <w:szCs w:val="24"/>
        </w:rPr>
        <w:t xml:space="preserve"> </w:t>
      </w:r>
      <w:r>
        <w:rPr>
          <w:b/>
          <w:bCs/>
          <w:szCs w:val="24"/>
        </w:rPr>
        <w:t xml:space="preserve">9: </w:t>
      </w:r>
      <w:r w:rsidRPr="00656EBB">
        <w:rPr>
          <w:b/>
          <w:bCs/>
          <w:szCs w:val="24"/>
        </w:rPr>
        <w:t>Total Number of Hot Food Takeaways in Designated Retail Centres</w:t>
      </w:r>
    </w:p>
    <w:tbl>
      <w:tblPr>
        <w:tblStyle w:val="TableGrid"/>
        <w:tblW w:w="8908" w:type="dxa"/>
        <w:tblBorders>
          <w:top w:val="single" w:sz="18" w:space="0" w:color="002060"/>
          <w:left w:val="single" w:sz="18" w:space="0" w:color="002060"/>
          <w:bottom w:val="single" w:sz="18" w:space="0" w:color="002060"/>
          <w:right w:val="single" w:sz="18" w:space="0" w:color="002060"/>
        </w:tblBorders>
        <w:tblLook w:val="04A0" w:firstRow="1" w:lastRow="0" w:firstColumn="1" w:lastColumn="0" w:noHBand="0" w:noVBand="1"/>
      </w:tblPr>
      <w:tblGrid>
        <w:gridCol w:w="4230"/>
        <w:gridCol w:w="1417"/>
        <w:gridCol w:w="3261"/>
      </w:tblGrid>
      <w:tr w:rsidR="006F154B" w14:paraId="65E32EF1" w14:textId="77777777" w:rsidTr="006F154B">
        <w:trPr>
          <w:trHeight w:val="340"/>
        </w:trPr>
        <w:tc>
          <w:tcPr>
            <w:tcW w:w="4230" w:type="dxa"/>
            <w:tcBorders>
              <w:bottom w:val="single" w:sz="4" w:space="0" w:color="auto"/>
            </w:tcBorders>
            <w:shd w:val="clear" w:color="auto" w:fill="002060"/>
          </w:tcPr>
          <w:p w14:paraId="1E13903B" w14:textId="77777777" w:rsidR="006F154B" w:rsidRPr="002778AD" w:rsidRDefault="006F154B" w:rsidP="0052311D">
            <w:pPr>
              <w:autoSpaceDE w:val="0"/>
              <w:autoSpaceDN w:val="0"/>
              <w:adjustRightInd w:val="0"/>
              <w:spacing w:line="240" w:lineRule="auto"/>
              <w:rPr>
                <w:rFonts w:cs="Poppins"/>
                <w:b/>
                <w:bCs/>
                <w:kern w:val="0"/>
              </w:rPr>
            </w:pPr>
            <w:r w:rsidRPr="002778AD">
              <w:rPr>
                <w:rFonts w:cs="Poppins"/>
                <w:b/>
                <w:bCs/>
                <w:kern w:val="0"/>
              </w:rPr>
              <w:t xml:space="preserve">Location </w:t>
            </w:r>
          </w:p>
        </w:tc>
        <w:tc>
          <w:tcPr>
            <w:tcW w:w="1417" w:type="dxa"/>
            <w:tcBorders>
              <w:bottom w:val="single" w:sz="4" w:space="0" w:color="auto"/>
            </w:tcBorders>
            <w:shd w:val="clear" w:color="auto" w:fill="002060"/>
          </w:tcPr>
          <w:p w14:paraId="6F90EE77" w14:textId="77777777" w:rsidR="006F154B" w:rsidRPr="002778AD" w:rsidRDefault="006F154B" w:rsidP="0052311D">
            <w:pPr>
              <w:autoSpaceDE w:val="0"/>
              <w:autoSpaceDN w:val="0"/>
              <w:adjustRightInd w:val="0"/>
              <w:spacing w:line="240" w:lineRule="auto"/>
              <w:rPr>
                <w:rFonts w:cs="Poppins"/>
                <w:b/>
                <w:bCs/>
                <w:kern w:val="0"/>
              </w:rPr>
            </w:pPr>
            <w:r w:rsidRPr="002778AD">
              <w:rPr>
                <w:rFonts w:cs="Poppins"/>
                <w:b/>
                <w:bCs/>
                <w:kern w:val="0"/>
              </w:rPr>
              <w:t>Number</w:t>
            </w:r>
          </w:p>
        </w:tc>
        <w:tc>
          <w:tcPr>
            <w:tcW w:w="3261" w:type="dxa"/>
            <w:tcBorders>
              <w:bottom w:val="single" w:sz="4" w:space="0" w:color="auto"/>
            </w:tcBorders>
            <w:shd w:val="clear" w:color="auto" w:fill="002060"/>
          </w:tcPr>
          <w:p w14:paraId="2ECF685B" w14:textId="234CDB10" w:rsidR="006F154B" w:rsidRPr="002778AD" w:rsidRDefault="006F154B" w:rsidP="0052311D">
            <w:pPr>
              <w:autoSpaceDE w:val="0"/>
              <w:autoSpaceDN w:val="0"/>
              <w:adjustRightInd w:val="0"/>
              <w:spacing w:line="240" w:lineRule="auto"/>
              <w:rPr>
                <w:rFonts w:cs="Poppins"/>
                <w:b/>
                <w:bCs/>
                <w:kern w:val="0"/>
              </w:rPr>
            </w:pPr>
            <w:r w:rsidRPr="002778AD">
              <w:rPr>
                <w:rFonts w:cs="Poppins"/>
                <w:b/>
                <w:bCs/>
                <w:kern w:val="0"/>
              </w:rPr>
              <w:t>Percent all Takeaways</w:t>
            </w:r>
          </w:p>
        </w:tc>
      </w:tr>
      <w:tr w:rsidR="006F154B" w14:paraId="74A51258" w14:textId="77777777" w:rsidTr="006F154B">
        <w:tc>
          <w:tcPr>
            <w:tcW w:w="4230" w:type="dxa"/>
            <w:tcBorders>
              <w:top w:val="single" w:sz="4" w:space="0" w:color="auto"/>
              <w:bottom w:val="single" w:sz="12" w:space="0" w:color="002060"/>
              <w:right w:val="single" w:sz="12" w:space="0" w:color="002060"/>
            </w:tcBorders>
            <w:shd w:val="clear" w:color="auto" w:fill="D9E2F3" w:themeFill="accent1" w:themeFillTint="33"/>
          </w:tcPr>
          <w:p w14:paraId="578CC31E" w14:textId="77777777" w:rsidR="006F154B" w:rsidRPr="00A66221" w:rsidRDefault="006F154B" w:rsidP="0052311D">
            <w:pPr>
              <w:autoSpaceDE w:val="0"/>
              <w:autoSpaceDN w:val="0"/>
              <w:adjustRightInd w:val="0"/>
              <w:spacing w:line="240" w:lineRule="auto"/>
              <w:rPr>
                <w:rFonts w:cs="Poppins"/>
                <w:b/>
                <w:bCs/>
                <w:kern w:val="0"/>
              </w:rPr>
            </w:pPr>
            <w:r>
              <w:rPr>
                <w:rFonts w:cs="Poppins"/>
                <w:b/>
                <w:bCs/>
                <w:kern w:val="0"/>
              </w:rPr>
              <w:t>Town Centres</w:t>
            </w:r>
          </w:p>
        </w:tc>
        <w:tc>
          <w:tcPr>
            <w:tcW w:w="1417" w:type="dxa"/>
            <w:tcBorders>
              <w:top w:val="single" w:sz="4" w:space="0" w:color="auto"/>
              <w:left w:val="single" w:sz="12" w:space="0" w:color="002060"/>
              <w:bottom w:val="single" w:sz="12" w:space="0" w:color="002060"/>
              <w:right w:val="single" w:sz="12" w:space="0" w:color="002060"/>
            </w:tcBorders>
            <w:shd w:val="clear" w:color="auto" w:fill="D9E2F3" w:themeFill="accent1" w:themeFillTint="33"/>
          </w:tcPr>
          <w:p w14:paraId="4E26417F" w14:textId="3339F941" w:rsidR="006F154B" w:rsidRPr="00A66221" w:rsidRDefault="006F154B" w:rsidP="006F154B">
            <w:pPr>
              <w:autoSpaceDE w:val="0"/>
              <w:autoSpaceDN w:val="0"/>
              <w:adjustRightInd w:val="0"/>
              <w:spacing w:line="240" w:lineRule="auto"/>
              <w:jc w:val="right"/>
              <w:rPr>
                <w:rFonts w:cs="Poppins"/>
                <w:b/>
                <w:bCs/>
                <w:kern w:val="0"/>
              </w:rPr>
            </w:pPr>
            <w:r>
              <w:rPr>
                <w:rFonts w:cs="Poppins"/>
                <w:kern w:val="0"/>
              </w:rPr>
              <w:t>66</w:t>
            </w:r>
          </w:p>
        </w:tc>
        <w:tc>
          <w:tcPr>
            <w:tcW w:w="3261" w:type="dxa"/>
            <w:tcBorders>
              <w:top w:val="single" w:sz="4" w:space="0" w:color="auto"/>
              <w:left w:val="single" w:sz="12" w:space="0" w:color="002060"/>
              <w:bottom w:val="single" w:sz="12" w:space="0" w:color="002060"/>
            </w:tcBorders>
            <w:shd w:val="clear" w:color="auto" w:fill="D9E2F3" w:themeFill="accent1" w:themeFillTint="33"/>
          </w:tcPr>
          <w:p w14:paraId="4941995B" w14:textId="4038C3D6" w:rsidR="006F154B" w:rsidRPr="00A66221" w:rsidRDefault="006F154B" w:rsidP="006F154B">
            <w:pPr>
              <w:autoSpaceDE w:val="0"/>
              <w:autoSpaceDN w:val="0"/>
              <w:adjustRightInd w:val="0"/>
              <w:spacing w:line="240" w:lineRule="auto"/>
              <w:jc w:val="right"/>
              <w:rPr>
                <w:rFonts w:cs="Poppins"/>
                <w:b/>
                <w:bCs/>
                <w:kern w:val="0"/>
              </w:rPr>
            </w:pPr>
            <w:r>
              <w:rPr>
                <w:rFonts w:cs="Poppins"/>
                <w:b/>
                <w:bCs/>
                <w:kern w:val="0"/>
              </w:rPr>
              <w:t>31.2%</w:t>
            </w:r>
          </w:p>
        </w:tc>
      </w:tr>
      <w:tr w:rsidR="006F154B" w14:paraId="44526A44" w14:textId="77777777" w:rsidTr="006F154B">
        <w:tc>
          <w:tcPr>
            <w:tcW w:w="4230" w:type="dxa"/>
            <w:tcBorders>
              <w:top w:val="single" w:sz="12" w:space="0" w:color="002060"/>
              <w:bottom w:val="single" w:sz="12" w:space="0" w:color="002060"/>
              <w:right w:val="single" w:sz="12" w:space="0" w:color="002060"/>
            </w:tcBorders>
            <w:shd w:val="clear" w:color="auto" w:fill="auto"/>
          </w:tcPr>
          <w:p w14:paraId="7BBDB572" w14:textId="77777777" w:rsidR="006F154B" w:rsidRDefault="006F154B" w:rsidP="0052311D">
            <w:pPr>
              <w:autoSpaceDE w:val="0"/>
              <w:autoSpaceDN w:val="0"/>
              <w:adjustRightInd w:val="0"/>
              <w:spacing w:line="240" w:lineRule="auto"/>
              <w:rPr>
                <w:rFonts w:cs="Poppins"/>
                <w:kern w:val="0"/>
              </w:rPr>
            </w:pPr>
            <w:r>
              <w:rPr>
                <w:rFonts w:cs="Poppins"/>
                <w:kern w:val="0"/>
              </w:rPr>
              <w:t>North Shields</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37E6E3CE" w14:textId="77777777" w:rsidR="006F154B" w:rsidRDefault="006F154B" w:rsidP="006F154B">
            <w:pPr>
              <w:autoSpaceDE w:val="0"/>
              <w:autoSpaceDN w:val="0"/>
              <w:adjustRightInd w:val="0"/>
              <w:spacing w:line="240" w:lineRule="auto"/>
              <w:jc w:val="right"/>
              <w:rPr>
                <w:rFonts w:cs="Poppins"/>
                <w:kern w:val="0"/>
              </w:rPr>
            </w:pPr>
            <w:r>
              <w:rPr>
                <w:rFonts w:cs="Poppins"/>
                <w:kern w:val="0"/>
              </w:rPr>
              <w:t>15</w:t>
            </w:r>
          </w:p>
        </w:tc>
        <w:tc>
          <w:tcPr>
            <w:tcW w:w="3261" w:type="dxa"/>
            <w:tcBorders>
              <w:top w:val="single" w:sz="12" w:space="0" w:color="002060"/>
              <w:left w:val="single" w:sz="12" w:space="0" w:color="002060"/>
              <w:bottom w:val="single" w:sz="12" w:space="0" w:color="002060"/>
            </w:tcBorders>
            <w:shd w:val="clear" w:color="auto" w:fill="auto"/>
          </w:tcPr>
          <w:p w14:paraId="2CD3618F" w14:textId="77777777" w:rsidR="006F154B" w:rsidRDefault="006F154B" w:rsidP="006F154B">
            <w:pPr>
              <w:autoSpaceDE w:val="0"/>
              <w:autoSpaceDN w:val="0"/>
              <w:adjustRightInd w:val="0"/>
              <w:spacing w:line="240" w:lineRule="auto"/>
              <w:ind w:left="720"/>
              <w:jc w:val="right"/>
              <w:rPr>
                <w:rFonts w:cs="Poppins"/>
                <w:kern w:val="0"/>
              </w:rPr>
            </w:pPr>
            <w:r>
              <w:rPr>
                <w:rFonts w:cs="Poppins"/>
                <w:kern w:val="0"/>
              </w:rPr>
              <w:t>7.1%</w:t>
            </w:r>
          </w:p>
        </w:tc>
      </w:tr>
      <w:tr w:rsidR="006F154B" w14:paraId="252E76F3" w14:textId="77777777" w:rsidTr="006F154B">
        <w:tc>
          <w:tcPr>
            <w:tcW w:w="4230" w:type="dxa"/>
            <w:tcBorders>
              <w:top w:val="single" w:sz="12" w:space="0" w:color="002060"/>
              <w:bottom w:val="single" w:sz="12" w:space="0" w:color="002060"/>
              <w:right w:val="single" w:sz="12" w:space="0" w:color="002060"/>
            </w:tcBorders>
            <w:shd w:val="clear" w:color="auto" w:fill="auto"/>
          </w:tcPr>
          <w:p w14:paraId="28C378D6" w14:textId="77777777" w:rsidR="006F154B" w:rsidRDefault="006F154B" w:rsidP="0052311D">
            <w:pPr>
              <w:autoSpaceDE w:val="0"/>
              <w:autoSpaceDN w:val="0"/>
              <w:adjustRightInd w:val="0"/>
              <w:spacing w:line="240" w:lineRule="auto"/>
              <w:rPr>
                <w:rFonts w:cs="Poppins"/>
                <w:kern w:val="0"/>
              </w:rPr>
            </w:pPr>
            <w:r>
              <w:rPr>
                <w:rFonts w:cs="Poppins"/>
                <w:kern w:val="0"/>
              </w:rPr>
              <w:t>Wallsend</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6DFF842E" w14:textId="77777777" w:rsidR="006F154B" w:rsidRDefault="006F154B" w:rsidP="006F154B">
            <w:pPr>
              <w:autoSpaceDE w:val="0"/>
              <w:autoSpaceDN w:val="0"/>
              <w:adjustRightInd w:val="0"/>
              <w:spacing w:line="240" w:lineRule="auto"/>
              <w:jc w:val="right"/>
              <w:rPr>
                <w:rFonts w:cs="Poppins"/>
                <w:kern w:val="0"/>
              </w:rPr>
            </w:pPr>
            <w:r>
              <w:rPr>
                <w:rFonts w:cs="Poppins"/>
                <w:kern w:val="0"/>
              </w:rPr>
              <w:t>29</w:t>
            </w:r>
          </w:p>
        </w:tc>
        <w:tc>
          <w:tcPr>
            <w:tcW w:w="3261" w:type="dxa"/>
            <w:tcBorders>
              <w:top w:val="single" w:sz="12" w:space="0" w:color="002060"/>
              <w:left w:val="single" w:sz="12" w:space="0" w:color="002060"/>
              <w:bottom w:val="single" w:sz="12" w:space="0" w:color="002060"/>
            </w:tcBorders>
            <w:shd w:val="clear" w:color="auto" w:fill="auto"/>
          </w:tcPr>
          <w:p w14:paraId="5EF62D23" w14:textId="77777777" w:rsidR="006F154B" w:rsidRDefault="006F154B" w:rsidP="006F154B">
            <w:pPr>
              <w:autoSpaceDE w:val="0"/>
              <w:autoSpaceDN w:val="0"/>
              <w:adjustRightInd w:val="0"/>
              <w:spacing w:line="240" w:lineRule="auto"/>
              <w:jc w:val="right"/>
              <w:rPr>
                <w:rFonts w:cs="Poppins"/>
                <w:kern w:val="0"/>
              </w:rPr>
            </w:pPr>
            <w:r>
              <w:rPr>
                <w:rFonts w:cs="Poppins"/>
                <w:kern w:val="0"/>
              </w:rPr>
              <w:t>13.7%</w:t>
            </w:r>
          </w:p>
        </w:tc>
      </w:tr>
      <w:tr w:rsidR="006F154B" w14:paraId="0178A708" w14:textId="77777777" w:rsidTr="006F154B">
        <w:tc>
          <w:tcPr>
            <w:tcW w:w="4230" w:type="dxa"/>
            <w:tcBorders>
              <w:top w:val="single" w:sz="12" w:space="0" w:color="002060"/>
              <w:bottom w:val="single" w:sz="12" w:space="0" w:color="002060"/>
              <w:right w:val="single" w:sz="12" w:space="0" w:color="002060"/>
            </w:tcBorders>
            <w:shd w:val="clear" w:color="auto" w:fill="auto"/>
          </w:tcPr>
          <w:p w14:paraId="02961CF3" w14:textId="77777777" w:rsidR="006F154B" w:rsidRDefault="006F154B" w:rsidP="0052311D">
            <w:pPr>
              <w:autoSpaceDE w:val="0"/>
              <w:autoSpaceDN w:val="0"/>
              <w:adjustRightInd w:val="0"/>
              <w:spacing w:line="240" w:lineRule="auto"/>
              <w:rPr>
                <w:rFonts w:cs="Poppins"/>
                <w:kern w:val="0"/>
              </w:rPr>
            </w:pPr>
            <w:r>
              <w:rPr>
                <w:rFonts w:cs="Poppins"/>
                <w:kern w:val="0"/>
              </w:rPr>
              <w:t>Whitley Bay</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53E1537E" w14:textId="77777777" w:rsidR="006F154B" w:rsidRDefault="006F154B" w:rsidP="006F154B">
            <w:pPr>
              <w:autoSpaceDE w:val="0"/>
              <w:autoSpaceDN w:val="0"/>
              <w:adjustRightInd w:val="0"/>
              <w:spacing w:line="240" w:lineRule="auto"/>
              <w:jc w:val="right"/>
              <w:rPr>
                <w:rFonts w:cs="Poppins"/>
                <w:kern w:val="0"/>
              </w:rPr>
            </w:pPr>
            <w:r>
              <w:rPr>
                <w:rFonts w:cs="Poppins"/>
                <w:kern w:val="0"/>
              </w:rPr>
              <w:t>22</w:t>
            </w:r>
          </w:p>
        </w:tc>
        <w:tc>
          <w:tcPr>
            <w:tcW w:w="3261" w:type="dxa"/>
            <w:tcBorders>
              <w:top w:val="single" w:sz="12" w:space="0" w:color="002060"/>
              <w:left w:val="single" w:sz="12" w:space="0" w:color="002060"/>
              <w:bottom w:val="single" w:sz="12" w:space="0" w:color="002060"/>
            </w:tcBorders>
            <w:shd w:val="clear" w:color="auto" w:fill="auto"/>
          </w:tcPr>
          <w:p w14:paraId="50EBCF33" w14:textId="77777777" w:rsidR="006F154B" w:rsidRDefault="006F154B" w:rsidP="006F154B">
            <w:pPr>
              <w:autoSpaceDE w:val="0"/>
              <w:autoSpaceDN w:val="0"/>
              <w:adjustRightInd w:val="0"/>
              <w:spacing w:line="240" w:lineRule="auto"/>
              <w:jc w:val="right"/>
              <w:rPr>
                <w:rFonts w:cs="Poppins"/>
                <w:kern w:val="0"/>
              </w:rPr>
            </w:pPr>
            <w:r>
              <w:rPr>
                <w:rFonts w:cs="Poppins"/>
                <w:kern w:val="0"/>
              </w:rPr>
              <w:t>10.4%</w:t>
            </w:r>
          </w:p>
        </w:tc>
      </w:tr>
      <w:tr w:rsidR="006F154B" w14:paraId="60542E38" w14:textId="77777777" w:rsidTr="006F154B">
        <w:tc>
          <w:tcPr>
            <w:tcW w:w="4230" w:type="dxa"/>
            <w:tcBorders>
              <w:top w:val="single" w:sz="12" w:space="0" w:color="002060"/>
              <w:bottom w:val="single" w:sz="12" w:space="0" w:color="002060"/>
              <w:right w:val="single" w:sz="12" w:space="0" w:color="002060"/>
            </w:tcBorders>
            <w:shd w:val="clear" w:color="auto" w:fill="auto"/>
          </w:tcPr>
          <w:p w14:paraId="0CAC86AC" w14:textId="77777777" w:rsidR="006F154B" w:rsidRDefault="006F154B" w:rsidP="0052311D">
            <w:pPr>
              <w:autoSpaceDE w:val="0"/>
              <w:autoSpaceDN w:val="0"/>
              <w:adjustRightInd w:val="0"/>
              <w:spacing w:line="240" w:lineRule="auto"/>
              <w:rPr>
                <w:rFonts w:cs="Poppins"/>
                <w:kern w:val="0"/>
              </w:rPr>
            </w:pPr>
            <w:r>
              <w:rPr>
                <w:rFonts w:cs="Poppins"/>
                <w:kern w:val="0"/>
              </w:rPr>
              <w:t>Killingworth</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51B720C4" w14:textId="77777777" w:rsidR="006F154B" w:rsidRDefault="006F154B" w:rsidP="006F154B">
            <w:pPr>
              <w:autoSpaceDE w:val="0"/>
              <w:autoSpaceDN w:val="0"/>
              <w:adjustRightInd w:val="0"/>
              <w:spacing w:line="240" w:lineRule="auto"/>
              <w:jc w:val="right"/>
              <w:rPr>
                <w:rFonts w:cs="Poppins"/>
                <w:kern w:val="0"/>
              </w:rPr>
            </w:pPr>
            <w:r>
              <w:rPr>
                <w:rFonts w:cs="Poppins"/>
                <w:kern w:val="0"/>
              </w:rPr>
              <w:t>0</w:t>
            </w:r>
          </w:p>
        </w:tc>
        <w:tc>
          <w:tcPr>
            <w:tcW w:w="3261" w:type="dxa"/>
            <w:tcBorders>
              <w:top w:val="single" w:sz="12" w:space="0" w:color="002060"/>
              <w:left w:val="single" w:sz="12" w:space="0" w:color="002060"/>
              <w:bottom w:val="single" w:sz="12" w:space="0" w:color="002060"/>
            </w:tcBorders>
            <w:shd w:val="clear" w:color="auto" w:fill="auto"/>
          </w:tcPr>
          <w:p w14:paraId="7CFF11A0" w14:textId="77777777" w:rsidR="006F154B" w:rsidRDefault="006F154B" w:rsidP="006F154B">
            <w:pPr>
              <w:autoSpaceDE w:val="0"/>
              <w:autoSpaceDN w:val="0"/>
              <w:adjustRightInd w:val="0"/>
              <w:spacing w:line="240" w:lineRule="auto"/>
              <w:jc w:val="right"/>
              <w:rPr>
                <w:rFonts w:cs="Poppins"/>
                <w:kern w:val="0"/>
              </w:rPr>
            </w:pPr>
            <w:r>
              <w:rPr>
                <w:rFonts w:cs="Poppins"/>
                <w:kern w:val="0"/>
              </w:rPr>
              <w:t>0%</w:t>
            </w:r>
          </w:p>
        </w:tc>
      </w:tr>
      <w:tr w:rsidR="006F154B" w14:paraId="18FCBEE0" w14:textId="77777777" w:rsidTr="006F154B">
        <w:tc>
          <w:tcPr>
            <w:tcW w:w="4230" w:type="dxa"/>
            <w:tcBorders>
              <w:top w:val="single" w:sz="12" w:space="0" w:color="002060"/>
              <w:bottom w:val="single" w:sz="12" w:space="0" w:color="002060"/>
              <w:right w:val="single" w:sz="12" w:space="0" w:color="002060"/>
            </w:tcBorders>
            <w:shd w:val="clear" w:color="auto" w:fill="D9E2F3" w:themeFill="accent1" w:themeFillTint="33"/>
          </w:tcPr>
          <w:p w14:paraId="58111312" w14:textId="77777777" w:rsidR="006F154B" w:rsidRDefault="006F154B" w:rsidP="00740ED5">
            <w:pPr>
              <w:autoSpaceDE w:val="0"/>
              <w:autoSpaceDN w:val="0"/>
              <w:adjustRightInd w:val="0"/>
              <w:spacing w:line="240" w:lineRule="auto"/>
              <w:rPr>
                <w:rFonts w:cs="Poppins"/>
                <w:kern w:val="0"/>
              </w:rPr>
            </w:pPr>
            <w:r>
              <w:rPr>
                <w:rFonts w:cs="Poppins"/>
                <w:b/>
                <w:bCs/>
                <w:kern w:val="0"/>
              </w:rPr>
              <w:t>District Centres</w:t>
            </w:r>
          </w:p>
        </w:tc>
        <w:tc>
          <w:tcPr>
            <w:tcW w:w="1417" w:type="dxa"/>
            <w:tcBorders>
              <w:top w:val="single" w:sz="12" w:space="0" w:color="002060"/>
              <w:left w:val="single" w:sz="12" w:space="0" w:color="002060"/>
              <w:bottom w:val="single" w:sz="12" w:space="0" w:color="002060"/>
              <w:right w:val="single" w:sz="12" w:space="0" w:color="002060"/>
            </w:tcBorders>
            <w:shd w:val="clear" w:color="auto" w:fill="D9E2F3" w:themeFill="accent1" w:themeFillTint="33"/>
          </w:tcPr>
          <w:p w14:paraId="2215830A" w14:textId="77777777" w:rsidR="006F154B" w:rsidRDefault="006F154B" w:rsidP="006F154B">
            <w:pPr>
              <w:autoSpaceDE w:val="0"/>
              <w:autoSpaceDN w:val="0"/>
              <w:adjustRightInd w:val="0"/>
              <w:spacing w:line="240" w:lineRule="auto"/>
              <w:jc w:val="right"/>
              <w:rPr>
                <w:rFonts w:cs="Poppins"/>
                <w:kern w:val="0"/>
              </w:rPr>
            </w:pPr>
            <w:r>
              <w:rPr>
                <w:rFonts w:cs="Poppins"/>
                <w:kern w:val="0"/>
              </w:rPr>
              <w:t>11</w:t>
            </w:r>
          </w:p>
        </w:tc>
        <w:tc>
          <w:tcPr>
            <w:tcW w:w="3261" w:type="dxa"/>
            <w:tcBorders>
              <w:top w:val="single" w:sz="12" w:space="0" w:color="002060"/>
              <w:left w:val="single" w:sz="12" w:space="0" w:color="002060"/>
              <w:bottom w:val="single" w:sz="12" w:space="0" w:color="002060"/>
            </w:tcBorders>
            <w:shd w:val="clear" w:color="auto" w:fill="D9E2F3" w:themeFill="accent1" w:themeFillTint="33"/>
          </w:tcPr>
          <w:p w14:paraId="70B6342E" w14:textId="77777777" w:rsidR="006F154B" w:rsidRDefault="006F154B" w:rsidP="006F154B">
            <w:pPr>
              <w:autoSpaceDE w:val="0"/>
              <w:autoSpaceDN w:val="0"/>
              <w:adjustRightInd w:val="0"/>
              <w:spacing w:line="240" w:lineRule="auto"/>
              <w:jc w:val="right"/>
              <w:rPr>
                <w:rFonts w:cs="Poppins"/>
                <w:kern w:val="0"/>
              </w:rPr>
            </w:pPr>
            <w:r>
              <w:rPr>
                <w:rFonts w:cs="Poppins"/>
                <w:kern w:val="0"/>
              </w:rPr>
              <w:t>5.3%</w:t>
            </w:r>
          </w:p>
        </w:tc>
      </w:tr>
      <w:tr w:rsidR="006F154B" w14:paraId="39A98277" w14:textId="77777777" w:rsidTr="006F154B">
        <w:tc>
          <w:tcPr>
            <w:tcW w:w="4230" w:type="dxa"/>
            <w:tcBorders>
              <w:top w:val="single" w:sz="12" w:space="0" w:color="002060"/>
              <w:bottom w:val="single" w:sz="12" w:space="0" w:color="002060"/>
              <w:right w:val="single" w:sz="12" w:space="0" w:color="002060"/>
            </w:tcBorders>
            <w:shd w:val="clear" w:color="auto" w:fill="auto"/>
          </w:tcPr>
          <w:p w14:paraId="0E5D2AF7" w14:textId="77777777" w:rsidR="006F154B" w:rsidRDefault="006F154B" w:rsidP="0052311D">
            <w:pPr>
              <w:autoSpaceDE w:val="0"/>
              <w:autoSpaceDN w:val="0"/>
              <w:adjustRightInd w:val="0"/>
              <w:spacing w:line="240" w:lineRule="auto"/>
              <w:rPr>
                <w:rFonts w:cs="Poppins"/>
                <w:kern w:val="0"/>
              </w:rPr>
            </w:pPr>
            <w:r>
              <w:rPr>
                <w:rFonts w:cs="Poppins"/>
                <w:kern w:val="0"/>
              </w:rPr>
              <w:t>Forest Hall</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2745FF6D" w14:textId="77777777" w:rsidR="006F154B" w:rsidRDefault="006F154B" w:rsidP="006F154B">
            <w:pPr>
              <w:autoSpaceDE w:val="0"/>
              <w:autoSpaceDN w:val="0"/>
              <w:adjustRightInd w:val="0"/>
              <w:spacing w:line="240" w:lineRule="auto"/>
              <w:jc w:val="right"/>
              <w:rPr>
                <w:rFonts w:cs="Poppins"/>
                <w:kern w:val="0"/>
              </w:rPr>
            </w:pPr>
            <w:r>
              <w:rPr>
                <w:rFonts w:cs="Poppins"/>
                <w:kern w:val="0"/>
              </w:rPr>
              <w:t>5</w:t>
            </w:r>
          </w:p>
        </w:tc>
        <w:tc>
          <w:tcPr>
            <w:tcW w:w="3261" w:type="dxa"/>
            <w:tcBorders>
              <w:top w:val="single" w:sz="12" w:space="0" w:color="002060"/>
              <w:left w:val="single" w:sz="12" w:space="0" w:color="002060"/>
              <w:bottom w:val="single" w:sz="12" w:space="0" w:color="002060"/>
            </w:tcBorders>
            <w:shd w:val="clear" w:color="auto" w:fill="auto"/>
          </w:tcPr>
          <w:p w14:paraId="0D20AD6A" w14:textId="77777777" w:rsidR="006F154B" w:rsidRDefault="006F154B" w:rsidP="006F154B">
            <w:pPr>
              <w:autoSpaceDE w:val="0"/>
              <w:autoSpaceDN w:val="0"/>
              <w:adjustRightInd w:val="0"/>
              <w:spacing w:line="240" w:lineRule="auto"/>
              <w:jc w:val="right"/>
              <w:rPr>
                <w:rFonts w:cs="Poppins"/>
                <w:kern w:val="0"/>
              </w:rPr>
            </w:pPr>
            <w:r>
              <w:rPr>
                <w:rFonts w:cs="Poppins"/>
                <w:kern w:val="0"/>
              </w:rPr>
              <w:t>2.4%</w:t>
            </w:r>
          </w:p>
        </w:tc>
      </w:tr>
      <w:tr w:rsidR="006F154B" w14:paraId="1FDCB80E" w14:textId="77777777" w:rsidTr="006F154B">
        <w:tc>
          <w:tcPr>
            <w:tcW w:w="4230" w:type="dxa"/>
            <w:tcBorders>
              <w:top w:val="single" w:sz="12" w:space="0" w:color="002060"/>
              <w:bottom w:val="single" w:sz="12" w:space="0" w:color="002060"/>
              <w:right w:val="single" w:sz="12" w:space="0" w:color="002060"/>
            </w:tcBorders>
            <w:shd w:val="clear" w:color="auto" w:fill="auto"/>
          </w:tcPr>
          <w:p w14:paraId="36FEE998" w14:textId="77777777" w:rsidR="006F154B" w:rsidRDefault="006F154B" w:rsidP="0052311D">
            <w:pPr>
              <w:autoSpaceDE w:val="0"/>
              <w:autoSpaceDN w:val="0"/>
              <w:adjustRightInd w:val="0"/>
              <w:spacing w:line="240" w:lineRule="auto"/>
              <w:rPr>
                <w:rFonts w:cs="Poppins"/>
                <w:kern w:val="0"/>
              </w:rPr>
            </w:pPr>
            <w:r>
              <w:rPr>
                <w:rFonts w:cs="Poppins"/>
                <w:kern w:val="0"/>
              </w:rPr>
              <w:t>Monkseaton</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6C54484E" w14:textId="77777777" w:rsidR="006F154B" w:rsidRDefault="006F154B" w:rsidP="006F154B">
            <w:pPr>
              <w:autoSpaceDE w:val="0"/>
              <w:autoSpaceDN w:val="0"/>
              <w:adjustRightInd w:val="0"/>
              <w:spacing w:line="240" w:lineRule="auto"/>
              <w:jc w:val="right"/>
              <w:rPr>
                <w:rFonts w:cs="Poppins"/>
                <w:kern w:val="0"/>
              </w:rPr>
            </w:pPr>
            <w:r>
              <w:rPr>
                <w:rFonts w:cs="Poppins"/>
                <w:kern w:val="0"/>
              </w:rPr>
              <w:t>4</w:t>
            </w:r>
          </w:p>
        </w:tc>
        <w:tc>
          <w:tcPr>
            <w:tcW w:w="3261" w:type="dxa"/>
            <w:tcBorders>
              <w:top w:val="single" w:sz="12" w:space="0" w:color="002060"/>
              <w:left w:val="single" w:sz="12" w:space="0" w:color="002060"/>
              <w:bottom w:val="single" w:sz="12" w:space="0" w:color="002060"/>
            </w:tcBorders>
            <w:shd w:val="clear" w:color="auto" w:fill="auto"/>
          </w:tcPr>
          <w:p w14:paraId="182A0A60" w14:textId="77777777" w:rsidR="006F154B" w:rsidRDefault="006F154B" w:rsidP="006F154B">
            <w:pPr>
              <w:autoSpaceDE w:val="0"/>
              <w:autoSpaceDN w:val="0"/>
              <w:adjustRightInd w:val="0"/>
              <w:spacing w:line="240" w:lineRule="auto"/>
              <w:jc w:val="right"/>
              <w:rPr>
                <w:rFonts w:cs="Poppins"/>
                <w:kern w:val="0"/>
              </w:rPr>
            </w:pPr>
            <w:r>
              <w:rPr>
                <w:rFonts w:cs="Poppins"/>
                <w:kern w:val="0"/>
              </w:rPr>
              <w:t>1.9%</w:t>
            </w:r>
          </w:p>
        </w:tc>
      </w:tr>
      <w:tr w:rsidR="006F154B" w14:paraId="67EE1697" w14:textId="77777777" w:rsidTr="006F154B">
        <w:tc>
          <w:tcPr>
            <w:tcW w:w="4230" w:type="dxa"/>
            <w:tcBorders>
              <w:top w:val="single" w:sz="12" w:space="0" w:color="002060"/>
              <w:bottom w:val="single" w:sz="12" w:space="0" w:color="002060"/>
              <w:right w:val="single" w:sz="12" w:space="0" w:color="002060"/>
            </w:tcBorders>
            <w:shd w:val="clear" w:color="auto" w:fill="auto"/>
          </w:tcPr>
          <w:p w14:paraId="718DA6E2" w14:textId="77777777" w:rsidR="006F154B" w:rsidRDefault="006F154B" w:rsidP="0052311D">
            <w:pPr>
              <w:autoSpaceDE w:val="0"/>
              <w:autoSpaceDN w:val="0"/>
              <w:adjustRightInd w:val="0"/>
              <w:spacing w:line="240" w:lineRule="auto"/>
              <w:rPr>
                <w:rFonts w:cs="Poppins"/>
                <w:kern w:val="0"/>
              </w:rPr>
            </w:pPr>
            <w:r>
              <w:rPr>
                <w:rFonts w:cs="Poppins"/>
                <w:kern w:val="0"/>
              </w:rPr>
              <w:t>Tynemouth</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624815F9" w14:textId="77777777" w:rsidR="006F154B" w:rsidRDefault="006F154B" w:rsidP="006F154B">
            <w:pPr>
              <w:autoSpaceDE w:val="0"/>
              <w:autoSpaceDN w:val="0"/>
              <w:adjustRightInd w:val="0"/>
              <w:spacing w:line="240" w:lineRule="auto"/>
              <w:jc w:val="right"/>
              <w:rPr>
                <w:rFonts w:cs="Poppins"/>
                <w:kern w:val="0"/>
              </w:rPr>
            </w:pPr>
            <w:r>
              <w:rPr>
                <w:rFonts w:cs="Poppins"/>
                <w:kern w:val="0"/>
              </w:rPr>
              <w:t>1</w:t>
            </w:r>
          </w:p>
        </w:tc>
        <w:tc>
          <w:tcPr>
            <w:tcW w:w="3261" w:type="dxa"/>
            <w:tcBorders>
              <w:top w:val="single" w:sz="12" w:space="0" w:color="002060"/>
              <w:left w:val="single" w:sz="12" w:space="0" w:color="002060"/>
              <w:bottom w:val="single" w:sz="12" w:space="0" w:color="002060"/>
            </w:tcBorders>
            <w:shd w:val="clear" w:color="auto" w:fill="auto"/>
          </w:tcPr>
          <w:p w14:paraId="7F728891" w14:textId="77777777" w:rsidR="006F154B" w:rsidRDefault="006F154B" w:rsidP="006F154B">
            <w:pPr>
              <w:autoSpaceDE w:val="0"/>
              <w:autoSpaceDN w:val="0"/>
              <w:adjustRightInd w:val="0"/>
              <w:spacing w:line="240" w:lineRule="auto"/>
              <w:jc w:val="right"/>
              <w:rPr>
                <w:rFonts w:cs="Poppins"/>
                <w:kern w:val="0"/>
              </w:rPr>
            </w:pPr>
            <w:r>
              <w:rPr>
                <w:rFonts w:cs="Poppins"/>
                <w:kern w:val="0"/>
              </w:rPr>
              <w:t>0.5%</w:t>
            </w:r>
          </w:p>
        </w:tc>
      </w:tr>
      <w:tr w:rsidR="006F154B" w14:paraId="5DBCE4EE" w14:textId="77777777" w:rsidTr="006F154B">
        <w:tc>
          <w:tcPr>
            <w:tcW w:w="4230" w:type="dxa"/>
            <w:tcBorders>
              <w:top w:val="single" w:sz="12" w:space="0" w:color="002060"/>
              <w:bottom w:val="single" w:sz="12" w:space="0" w:color="002060"/>
              <w:right w:val="single" w:sz="12" w:space="0" w:color="002060"/>
            </w:tcBorders>
            <w:shd w:val="clear" w:color="auto" w:fill="auto"/>
          </w:tcPr>
          <w:p w14:paraId="33E58FA0" w14:textId="77777777" w:rsidR="006F154B" w:rsidRDefault="006F154B" w:rsidP="0052311D">
            <w:pPr>
              <w:autoSpaceDE w:val="0"/>
              <w:autoSpaceDN w:val="0"/>
              <w:adjustRightInd w:val="0"/>
              <w:spacing w:line="240" w:lineRule="auto"/>
              <w:rPr>
                <w:rFonts w:cs="Poppins"/>
                <w:kern w:val="0"/>
              </w:rPr>
            </w:pPr>
            <w:r>
              <w:rPr>
                <w:rFonts w:cs="Poppins"/>
                <w:kern w:val="0"/>
              </w:rPr>
              <w:t>Northumberland Park</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08C3AEC4" w14:textId="77777777" w:rsidR="006F154B" w:rsidRDefault="006F154B" w:rsidP="006F154B">
            <w:pPr>
              <w:autoSpaceDE w:val="0"/>
              <w:autoSpaceDN w:val="0"/>
              <w:adjustRightInd w:val="0"/>
              <w:spacing w:line="240" w:lineRule="auto"/>
              <w:jc w:val="right"/>
              <w:rPr>
                <w:rFonts w:cs="Poppins"/>
                <w:kern w:val="0"/>
              </w:rPr>
            </w:pPr>
            <w:r>
              <w:rPr>
                <w:rFonts w:cs="Poppins"/>
                <w:kern w:val="0"/>
              </w:rPr>
              <w:t>1</w:t>
            </w:r>
          </w:p>
        </w:tc>
        <w:tc>
          <w:tcPr>
            <w:tcW w:w="3261" w:type="dxa"/>
            <w:tcBorders>
              <w:top w:val="single" w:sz="12" w:space="0" w:color="002060"/>
              <w:left w:val="single" w:sz="12" w:space="0" w:color="002060"/>
              <w:bottom w:val="single" w:sz="12" w:space="0" w:color="002060"/>
            </w:tcBorders>
            <w:shd w:val="clear" w:color="auto" w:fill="auto"/>
          </w:tcPr>
          <w:p w14:paraId="63E1851F" w14:textId="77777777" w:rsidR="006F154B" w:rsidRDefault="006F154B" w:rsidP="006F154B">
            <w:pPr>
              <w:autoSpaceDE w:val="0"/>
              <w:autoSpaceDN w:val="0"/>
              <w:adjustRightInd w:val="0"/>
              <w:spacing w:line="240" w:lineRule="auto"/>
              <w:jc w:val="right"/>
              <w:rPr>
                <w:rFonts w:cs="Poppins"/>
                <w:kern w:val="0"/>
              </w:rPr>
            </w:pPr>
            <w:r>
              <w:rPr>
                <w:rFonts w:cs="Poppins"/>
                <w:kern w:val="0"/>
              </w:rPr>
              <w:t>0.5%</w:t>
            </w:r>
          </w:p>
        </w:tc>
      </w:tr>
      <w:tr w:rsidR="006F154B" w14:paraId="083BFDDC" w14:textId="77777777" w:rsidTr="006F154B">
        <w:tc>
          <w:tcPr>
            <w:tcW w:w="4230" w:type="dxa"/>
            <w:tcBorders>
              <w:top w:val="single" w:sz="12" w:space="0" w:color="002060"/>
              <w:bottom w:val="single" w:sz="12" w:space="0" w:color="002060"/>
              <w:right w:val="single" w:sz="12" w:space="0" w:color="002060"/>
            </w:tcBorders>
            <w:shd w:val="clear" w:color="auto" w:fill="auto"/>
          </w:tcPr>
          <w:p w14:paraId="3A660598" w14:textId="77777777" w:rsidR="006F154B" w:rsidRPr="00A66221" w:rsidRDefault="006F154B" w:rsidP="0052311D">
            <w:pPr>
              <w:autoSpaceDE w:val="0"/>
              <w:autoSpaceDN w:val="0"/>
              <w:adjustRightInd w:val="0"/>
              <w:spacing w:line="240" w:lineRule="auto"/>
              <w:rPr>
                <w:rFonts w:cs="Poppins"/>
                <w:b/>
                <w:bCs/>
                <w:kern w:val="0"/>
              </w:rPr>
            </w:pPr>
            <w:r>
              <w:rPr>
                <w:rFonts w:cs="Poppins"/>
                <w:b/>
                <w:bCs/>
                <w:kern w:val="0"/>
              </w:rPr>
              <w:t>Local Centres</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76F1780D" w14:textId="47A6EB4E" w:rsidR="006F154B" w:rsidRPr="00A66221" w:rsidRDefault="006F154B" w:rsidP="006F154B">
            <w:pPr>
              <w:autoSpaceDE w:val="0"/>
              <w:autoSpaceDN w:val="0"/>
              <w:adjustRightInd w:val="0"/>
              <w:spacing w:line="240" w:lineRule="auto"/>
              <w:jc w:val="right"/>
              <w:rPr>
                <w:rFonts w:cs="Poppins"/>
                <w:b/>
                <w:bCs/>
                <w:kern w:val="0"/>
              </w:rPr>
            </w:pPr>
            <w:r>
              <w:rPr>
                <w:rFonts w:cs="Poppins"/>
                <w:b/>
                <w:bCs/>
                <w:kern w:val="0"/>
              </w:rPr>
              <w:t>13</w:t>
            </w:r>
          </w:p>
        </w:tc>
        <w:tc>
          <w:tcPr>
            <w:tcW w:w="3261" w:type="dxa"/>
            <w:tcBorders>
              <w:top w:val="single" w:sz="12" w:space="0" w:color="002060"/>
              <w:left w:val="single" w:sz="12" w:space="0" w:color="002060"/>
              <w:bottom w:val="single" w:sz="12" w:space="0" w:color="002060"/>
            </w:tcBorders>
            <w:shd w:val="clear" w:color="auto" w:fill="auto"/>
          </w:tcPr>
          <w:p w14:paraId="54CE450E" w14:textId="251A4345" w:rsidR="006F154B" w:rsidRPr="00A66221" w:rsidRDefault="006F154B" w:rsidP="006F154B">
            <w:pPr>
              <w:autoSpaceDE w:val="0"/>
              <w:autoSpaceDN w:val="0"/>
              <w:adjustRightInd w:val="0"/>
              <w:spacing w:line="240" w:lineRule="auto"/>
              <w:jc w:val="right"/>
              <w:rPr>
                <w:rFonts w:cs="Poppins"/>
                <w:b/>
                <w:bCs/>
                <w:kern w:val="0"/>
              </w:rPr>
            </w:pPr>
            <w:r>
              <w:rPr>
                <w:rFonts w:cs="Poppins"/>
                <w:b/>
                <w:bCs/>
                <w:kern w:val="0"/>
              </w:rPr>
              <w:t>6.1%</w:t>
            </w:r>
          </w:p>
        </w:tc>
      </w:tr>
      <w:tr w:rsidR="006F154B" w14:paraId="01404436" w14:textId="77777777" w:rsidTr="006F154B">
        <w:tc>
          <w:tcPr>
            <w:tcW w:w="4230" w:type="dxa"/>
            <w:tcBorders>
              <w:top w:val="single" w:sz="12" w:space="0" w:color="002060"/>
              <w:bottom w:val="single" w:sz="12" w:space="0" w:color="002060"/>
              <w:right w:val="single" w:sz="12" w:space="0" w:color="002060"/>
            </w:tcBorders>
            <w:shd w:val="clear" w:color="auto" w:fill="auto"/>
          </w:tcPr>
          <w:p w14:paraId="00869740" w14:textId="77777777" w:rsidR="006F154B" w:rsidRPr="00595C95" w:rsidRDefault="006F154B" w:rsidP="0052311D">
            <w:pPr>
              <w:autoSpaceDE w:val="0"/>
              <w:autoSpaceDN w:val="0"/>
              <w:adjustRightInd w:val="0"/>
              <w:spacing w:line="240" w:lineRule="auto"/>
              <w:rPr>
                <w:rFonts w:cs="Poppins"/>
                <w:vanish/>
                <w:kern w:val="0"/>
              </w:rPr>
            </w:pPr>
            <w:r>
              <w:rPr>
                <w:rFonts w:cs="Poppins"/>
                <w:kern w:val="0"/>
              </w:rPr>
              <w:t>Battle Hill</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466519D0" w14:textId="77777777" w:rsidR="006F154B" w:rsidRDefault="006F154B" w:rsidP="006F154B">
            <w:pPr>
              <w:autoSpaceDE w:val="0"/>
              <w:autoSpaceDN w:val="0"/>
              <w:adjustRightInd w:val="0"/>
              <w:spacing w:line="240" w:lineRule="auto"/>
              <w:jc w:val="right"/>
              <w:rPr>
                <w:rFonts w:cs="Poppins"/>
                <w:kern w:val="0"/>
              </w:rPr>
            </w:pPr>
            <w:r>
              <w:rPr>
                <w:rFonts w:cs="Poppins"/>
                <w:kern w:val="0"/>
              </w:rPr>
              <w:t>3</w:t>
            </w:r>
          </w:p>
        </w:tc>
        <w:tc>
          <w:tcPr>
            <w:tcW w:w="3261" w:type="dxa"/>
            <w:tcBorders>
              <w:top w:val="single" w:sz="12" w:space="0" w:color="002060"/>
              <w:left w:val="single" w:sz="12" w:space="0" w:color="002060"/>
              <w:bottom w:val="single" w:sz="12" w:space="0" w:color="002060"/>
            </w:tcBorders>
            <w:shd w:val="clear" w:color="auto" w:fill="auto"/>
          </w:tcPr>
          <w:p w14:paraId="1223C4C4" w14:textId="77777777" w:rsidR="006F154B" w:rsidRDefault="006F154B" w:rsidP="006F154B">
            <w:pPr>
              <w:autoSpaceDE w:val="0"/>
              <w:autoSpaceDN w:val="0"/>
              <w:adjustRightInd w:val="0"/>
              <w:spacing w:line="240" w:lineRule="auto"/>
              <w:ind w:firstLine="720"/>
              <w:jc w:val="right"/>
              <w:rPr>
                <w:rFonts w:cs="Poppins"/>
                <w:kern w:val="0"/>
              </w:rPr>
            </w:pPr>
            <w:r>
              <w:rPr>
                <w:rFonts w:cs="Poppins"/>
                <w:kern w:val="0"/>
              </w:rPr>
              <w:t>1.4%</w:t>
            </w:r>
          </w:p>
        </w:tc>
      </w:tr>
      <w:tr w:rsidR="006F154B" w14:paraId="3C130A65" w14:textId="77777777" w:rsidTr="006F154B">
        <w:tc>
          <w:tcPr>
            <w:tcW w:w="4230" w:type="dxa"/>
            <w:tcBorders>
              <w:top w:val="single" w:sz="12" w:space="0" w:color="002060"/>
              <w:bottom w:val="single" w:sz="12" w:space="0" w:color="002060"/>
              <w:right w:val="single" w:sz="12" w:space="0" w:color="002060"/>
            </w:tcBorders>
            <w:shd w:val="clear" w:color="auto" w:fill="auto"/>
          </w:tcPr>
          <w:p w14:paraId="19857727" w14:textId="77777777" w:rsidR="006F154B" w:rsidRDefault="006F154B" w:rsidP="0052311D">
            <w:pPr>
              <w:autoSpaceDE w:val="0"/>
              <w:autoSpaceDN w:val="0"/>
              <w:adjustRightInd w:val="0"/>
              <w:spacing w:line="240" w:lineRule="auto"/>
              <w:rPr>
                <w:rFonts w:cs="Poppins"/>
                <w:kern w:val="0"/>
              </w:rPr>
            </w:pPr>
            <w:r>
              <w:rPr>
                <w:rFonts w:cs="Poppins"/>
                <w:kern w:val="0"/>
              </w:rPr>
              <w:t xml:space="preserve">Howdon </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3038DB1A" w14:textId="77777777" w:rsidR="006F154B" w:rsidRDefault="006F154B" w:rsidP="006F154B">
            <w:pPr>
              <w:autoSpaceDE w:val="0"/>
              <w:autoSpaceDN w:val="0"/>
              <w:adjustRightInd w:val="0"/>
              <w:spacing w:line="240" w:lineRule="auto"/>
              <w:jc w:val="right"/>
              <w:rPr>
                <w:rFonts w:cs="Poppins"/>
                <w:kern w:val="0"/>
              </w:rPr>
            </w:pPr>
            <w:r>
              <w:rPr>
                <w:rFonts w:cs="Poppins"/>
                <w:kern w:val="0"/>
              </w:rPr>
              <w:t>2</w:t>
            </w:r>
          </w:p>
        </w:tc>
        <w:tc>
          <w:tcPr>
            <w:tcW w:w="3261" w:type="dxa"/>
            <w:tcBorders>
              <w:top w:val="single" w:sz="12" w:space="0" w:color="002060"/>
              <w:left w:val="single" w:sz="12" w:space="0" w:color="002060"/>
              <w:bottom w:val="single" w:sz="12" w:space="0" w:color="002060"/>
            </w:tcBorders>
            <w:shd w:val="clear" w:color="auto" w:fill="auto"/>
          </w:tcPr>
          <w:p w14:paraId="25FB7DBA" w14:textId="77777777" w:rsidR="006F154B" w:rsidRDefault="006F154B" w:rsidP="006F154B">
            <w:pPr>
              <w:autoSpaceDE w:val="0"/>
              <w:autoSpaceDN w:val="0"/>
              <w:adjustRightInd w:val="0"/>
              <w:spacing w:line="240" w:lineRule="auto"/>
              <w:jc w:val="right"/>
              <w:rPr>
                <w:rFonts w:cs="Poppins"/>
                <w:kern w:val="0"/>
              </w:rPr>
            </w:pPr>
            <w:r>
              <w:rPr>
                <w:rFonts w:cs="Poppins"/>
                <w:kern w:val="0"/>
              </w:rPr>
              <w:t>0.9%</w:t>
            </w:r>
          </w:p>
        </w:tc>
      </w:tr>
      <w:tr w:rsidR="006F154B" w14:paraId="2F090099" w14:textId="77777777" w:rsidTr="006F154B">
        <w:tc>
          <w:tcPr>
            <w:tcW w:w="4230" w:type="dxa"/>
            <w:tcBorders>
              <w:top w:val="single" w:sz="12" w:space="0" w:color="002060"/>
              <w:bottom w:val="single" w:sz="12" w:space="0" w:color="002060"/>
              <w:right w:val="single" w:sz="12" w:space="0" w:color="002060"/>
            </w:tcBorders>
            <w:shd w:val="clear" w:color="auto" w:fill="auto"/>
          </w:tcPr>
          <w:p w14:paraId="4182A144" w14:textId="77777777" w:rsidR="006F154B" w:rsidRDefault="006F154B" w:rsidP="0052311D">
            <w:pPr>
              <w:autoSpaceDE w:val="0"/>
              <w:autoSpaceDN w:val="0"/>
              <w:adjustRightInd w:val="0"/>
              <w:spacing w:line="240" w:lineRule="auto"/>
              <w:rPr>
                <w:rFonts w:cs="Poppins"/>
                <w:kern w:val="0"/>
              </w:rPr>
            </w:pPr>
            <w:r>
              <w:rPr>
                <w:rFonts w:cs="Poppins"/>
                <w:kern w:val="0"/>
              </w:rPr>
              <w:t xml:space="preserve">Longbenton </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4B718452" w14:textId="77777777" w:rsidR="006F154B" w:rsidRDefault="006F154B" w:rsidP="006F154B">
            <w:pPr>
              <w:autoSpaceDE w:val="0"/>
              <w:autoSpaceDN w:val="0"/>
              <w:adjustRightInd w:val="0"/>
              <w:spacing w:line="240" w:lineRule="auto"/>
              <w:jc w:val="right"/>
              <w:rPr>
                <w:rFonts w:cs="Poppins"/>
                <w:kern w:val="0"/>
              </w:rPr>
            </w:pPr>
            <w:r>
              <w:rPr>
                <w:rFonts w:cs="Poppins"/>
                <w:kern w:val="0"/>
              </w:rPr>
              <w:t>3</w:t>
            </w:r>
          </w:p>
        </w:tc>
        <w:tc>
          <w:tcPr>
            <w:tcW w:w="3261" w:type="dxa"/>
            <w:tcBorders>
              <w:top w:val="single" w:sz="12" w:space="0" w:color="002060"/>
              <w:left w:val="single" w:sz="12" w:space="0" w:color="002060"/>
              <w:bottom w:val="single" w:sz="12" w:space="0" w:color="002060"/>
            </w:tcBorders>
            <w:shd w:val="clear" w:color="auto" w:fill="auto"/>
          </w:tcPr>
          <w:p w14:paraId="34EACEB7" w14:textId="77777777" w:rsidR="006F154B" w:rsidRDefault="006F154B" w:rsidP="006F154B">
            <w:pPr>
              <w:autoSpaceDE w:val="0"/>
              <w:autoSpaceDN w:val="0"/>
              <w:adjustRightInd w:val="0"/>
              <w:spacing w:line="240" w:lineRule="auto"/>
              <w:jc w:val="right"/>
              <w:rPr>
                <w:rFonts w:cs="Poppins"/>
                <w:kern w:val="0"/>
              </w:rPr>
            </w:pPr>
            <w:r>
              <w:rPr>
                <w:rFonts w:cs="Poppins"/>
                <w:kern w:val="0"/>
              </w:rPr>
              <w:t>1.4%</w:t>
            </w:r>
          </w:p>
        </w:tc>
      </w:tr>
      <w:tr w:rsidR="006F154B" w14:paraId="0786B18A" w14:textId="77777777" w:rsidTr="006F154B">
        <w:tc>
          <w:tcPr>
            <w:tcW w:w="4230" w:type="dxa"/>
            <w:tcBorders>
              <w:top w:val="single" w:sz="12" w:space="0" w:color="002060"/>
              <w:bottom w:val="single" w:sz="12" w:space="0" w:color="002060"/>
              <w:right w:val="single" w:sz="12" w:space="0" w:color="002060"/>
            </w:tcBorders>
            <w:shd w:val="clear" w:color="auto" w:fill="auto"/>
          </w:tcPr>
          <w:p w14:paraId="0768B751" w14:textId="77777777" w:rsidR="006F154B" w:rsidRDefault="006F154B" w:rsidP="0052311D">
            <w:pPr>
              <w:autoSpaceDE w:val="0"/>
              <w:autoSpaceDN w:val="0"/>
              <w:adjustRightInd w:val="0"/>
              <w:spacing w:line="240" w:lineRule="auto"/>
              <w:rPr>
                <w:rFonts w:cs="Poppins"/>
                <w:kern w:val="0"/>
              </w:rPr>
            </w:pPr>
            <w:r>
              <w:rPr>
                <w:rFonts w:cs="Poppins"/>
                <w:kern w:val="0"/>
              </w:rPr>
              <w:t>Preston Grange</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574D47B6" w14:textId="77777777" w:rsidR="006F154B" w:rsidRDefault="006F154B" w:rsidP="006F154B">
            <w:pPr>
              <w:autoSpaceDE w:val="0"/>
              <w:autoSpaceDN w:val="0"/>
              <w:adjustRightInd w:val="0"/>
              <w:spacing w:line="240" w:lineRule="auto"/>
              <w:jc w:val="right"/>
              <w:rPr>
                <w:rFonts w:cs="Poppins"/>
                <w:kern w:val="0"/>
              </w:rPr>
            </w:pPr>
            <w:r>
              <w:rPr>
                <w:rFonts w:cs="Poppins"/>
                <w:kern w:val="0"/>
              </w:rPr>
              <w:t>1</w:t>
            </w:r>
          </w:p>
        </w:tc>
        <w:tc>
          <w:tcPr>
            <w:tcW w:w="3261" w:type="dxa"/>
            <w:tcBorders>
              <w:top w:val="single" w:sz="12" w:space="0" w:color="002060"/>
              <w:left w:val="single" w:sz="12" w:space="0" w:color="002060"/>
              <w:bottom w:val="single" w:sz="12" w:space="0" w:color="002060"/>
            </w:tcBorders>
            <w:shd w:val="clear" w:color="auto" w:fill="auto"/>
          </w:tcPr>
          <w:p w14:paraId="7FF2251C" w14:textId="77777777" w:rsidR="006F154B" w:rsidRDefault="006F154B" w:rsidP="006F154B">
            <w:pPr>
              <w:autoSpaceDE w:val="0"/>
              <w:autoSpaceDN w:val="0"/>
              <w:adjustRightInd w:val="0"/>
              <w:spacing w:line="240" w:lineRule="auto"/>
              <w:jc w:val="right"/>
              <w:rPr>
                <w:rFonts w:cs="Poppins"/>
                <w:kern w:val="0"/>
              </w:rPr>
            </w:pPr>
            <w:r>
              <w:rPr>
                <w:rFonts w:cs="Poppins"/>
                <w:kern w:val="0"/>
              </w:rPr>
              <w:t>0.5%</w:t>
            </w:r>
          </w:p>
        </w:tc>
      </w:tr>
      <w:tr w:rsidR="006F154B" w14:paraId="13BB1A33" w14:textId="77777777" w:rsidTr="006F154B">
        <w:tc>
          <w:tcPr>
            <w:tcW w:w="4230" w:type="dxa"/>
            <w:tcBorders>
              <w:top w:val="single" w:sz="12" w:space="0" w:color="002060"/>
              <w:bottom w:val="single" w:sz="12" w:space="0" w:color="002060"/>
              <w:right w:val="single" w:sz="12" w:space="0" w:color="002060"/>
            </w:tcBorders>
            <w:shd w:val="clear" w:color="auto" w:fill="auto"/>
          </w:tcPr>
          <w:p w14:paraId="5555B31A" w14:textId="77777777" w:rsidR="006F154B" w:rsidRDefault="006F154B" w:rsidP="0052311D">
            <w:pPr>
              <w:autoSpaceDE w:val="0"/>
              <w:autoSpaceDN w:val="0"/>
              <w:adjustRightInd w:val="0"/>
              <w:spacing w:line="240" w:lineRule="auto"/>
              <w:rPr>
                <w:rFonts w:cs="Poppins"/>
                <w:kern w:val="0"/>
              </w:rPr>
            </w:pPr>
            <w:r>
              <w:rPr>
                <w:rFonts w:cs="Poppins"/>
                <w:kern w:val="0"/>
              </w:rPr>
              <w:t xml:space="preserve">Whitley Lodge </w:t>
            </w:r>
          </w:p>
        </w:tc>
        <w:tc>
          <w:tcPr>
            <w:tcW w:w="1417" w:type="dxa"/>
            <w:tcBorders>
              <w:top w:val="single" w:sz="12" w:space="0" w:color="002060"/>
              <w:left w:val="single" w:sz="12" w:space="0" w:color="002060"/>
              <w:bottom w:val="single" w:sz="12" w:space="0" w:color="002060"/>
              <w:right w:val="single" w:sz="12" w:space="0" w:color="002060"/>
            </w:tcBorders>
            <w:shd w:val="clear" w:color="auto" w:fill="auto"/>
          </w:tcPr>
          <w:p w14:paraId="53C4E095" w14:textId="77777777" w:rsidR="006F154B" w:rsidRDefault="006F154B" w:rsidP="006F154B">
            <w:pPr>
              <w:autoSpaceDE w:val="0"/>
              <w:autoSpaceDN w:val="0"/>
              <w:adjustRightInd w:val="0"/>
              <w:spacing w:line="240" w:lineRule="auto"/>
              <w:jc w:val="right"/>
              <w:rPr>
                <w:rFonts w:cs="Poppins"/>
                <w:kern w:val="0"/>
              </w:rPr>
            </w:pPr>
            <w:r>
              <w:rPr>
                <w:rFonts w:cs="Poppins"/>
                <w:kern w:val="0"/>
              </w:rPr>
              <w:t>4</w:t>
            </w:r>
          </w:p>
        </w:tc>
        <w:tc>
          <w:tcPr>
            <w:tcW w:w="3261" w:type="dxa"/>
            <w:tcBorders>
              <w:top w:val="single" w:sz="12" w:space="0" w:color="002060"/>
              <w:left w:val="single" w:sz="12" w:space="0" w:color="002060"/>
              <w:bottom w:val="single" w:sz="12" w:space="0" w:color="002060"/>
            </w:tcBorders>
            <w:shd w:val="clear" w:color="auto" w:fill="auto"/>
          </w:tcPr>
          <w:p w14:paraId="71BA50CF" w14:textId="77777777" w:rsidR="006F154B" w:rsidRDefault="006F154B" w:rsidP="006F154B">
            <w:pPr>
              <w:autoSpaceDE w:val="0"/>
              <w:autoSpaceDN w:val="0"/>
              <w:adjustRightInd w:val="0"/>
              <w:spacing w:line="240" w:lineRule="auto"/>
              <w:jc w:val="right"/>
              <w:rPr>
                <w:rFonts w:cs="Poppins"/>
                <w:kern w:val="0"/>
              </w:rPr>
            </w:pPr>
            <w:r>
              <w:rPr>
                <w:rFonts w:cs="Poppins"/>
                <w:kern w:val="0"/>
              </w:rPr>
              <w:t>1.9%</w:t>
            </w:r>
          </w:p>
        </w:tc>
      </w:tr>
      <w:tr w:rsidR="006F154B" w14:paraId="4D09458E" w14:textId="77777777" w:rsidTr="006F154B">
        <w:tc>
          <w:tcPr>
            <w:tcW w:w="4230" w:type="dxa"/>
            <w:tcBorders>
              <w:top w:val="single" w:sz="12" w:space="0" w:color="002060"/>
              <w:bottom w:val="single" w:sz="18" w:space="0" w:color="002060"/>
              <w:right w:val="single" w:sz="12" w:space="0" w:color="002060"/>
            </w:tcBorders>
            <w:shd w:val="clear" w:color="auto" w:fill="D9E2F3" w:themeFill="accent1" w:themeFillTint="33"/>
          </w:tcPr>
          <w:p w14:paraId="48DB85FC" w14:textId="77777777" w:rsidR="006F154B" w:rsidRPr="00595C95" w:rsidRDefault="006F154B" w:rsidP="0052311D">
            <w:pPr>
              <w:autoSpaceDE w:val="0"/>
              <w:autoSpaceDN w:val="0"/>
              <w:adjustRightInd w:val="0"/>
              <w:spacing w:line="240" w:lineRule="auto"/>
              <w:rPr>
                <w:rFonts w:cs="Poppins"/>
                <w:kern w:val="0"/>
              </w:rPr>
            </w:pPr>
            <w:r>
              <w:rPr>
                <w:rFonts w:cs="Poppins"/>
                <w:b/>
                <w:bCs/>
                <w:kern w:val="0"/>
              </w:rPr>
              <w:t>Total within North Tyneside’s designated retail centres</w:t>
            </w:r>
          </w:p>
        </w:tc>
        <w:tc>
          <w:tcPr>
            <w:tcW w:w="1417" w:type="dxa"/>
            <w:tcBorders>
              <w:top w:val="single" w:sz="12" w:space="0" w:color="002060"/>
              <w:left w:val="single" w:sz="12" w:space="0" w:color="002060"/>
              <w:bottom w:val="single" w:sz="18" w:space="0" w:color="002060"/>
              <w:right w:val="single" w:sz="12" w:space="0" w:color="002060"/>
            </w:tcBorders>
            <w:shd w:val="clear" w:color="auto" w:fill="D9E2F3" w:themeFill="accent1" w:themeFillTint="33"/>
          </w:tcPr>
          <w:p w14:paraId="28B0034B" w14:textId="6F47BA05" w:rsidR="006F154B" w:rsidRDefault="006F154B" w:rsidP="006F154B">
            <w:pPr>
              <w:autoSpaceDE w:val="0"/>
              <w:autoSpaceDN w:val="0"/>
              <w:adjustRightInd w:val="0"/>
              <w:spacing w:line="240" w:lineRule="auto"/>
              <w:jc w:val="right"/>
              <w:rPr>
                <w:rFonts w:cs="Poppins"/>
                <w:kern w:val="0"/>
              </w:rPr>
            </w:pPr>
            <w:r>
              <w:rPr>
                <w:rFonts w:cs="Poppins"/>
                <w:kern w:val="0"/>
              </w:rPr>
              <w:t>90</w:t>
            </w:r>
          </w:p>
        </w:tc>
        <w:tc>
          <w:tcPr>
            <w:tcW w:w="3261" w:type="dxa"/>
            <w:tcBorders>
              <w:top w:val="single" w:sz="12" w:space="0" w:color="002060"/>
              <w:left w:val="single" w:sz="12" w:space="0" w:color="002060"/>
              <w:bottom w:val="single" w:sz="18" w:space="0" w:color="002060"/>
            </w:tcBorders>
            <w:shd w:val="clear" w:color="auto" w:fill="D9E2F3" w:themeFill="accent1" w:themeFillTint="33"/>
          </w:tcPr>
          <w:p w14:paraId="200A7A79" w14:textId="5F37EE44" w:rsidR="006F154B" w:rsidRDefault="006F154B" w:rsidP="006F154B">
            <w:pPr>
              <w:autoSpaceDE w:val="0"/>
              <w:autoSpaceDN w:val="0"/>
              <w:adjustRightInd w:val="0"/>
              <w:spacing w:line="240" w:lineRule="auto"/>
              <w:jc w:val="right"/>
              <w:rPr>
                <w:rFonts w:cs="Poppins"/>
                <w:kern w:val="0"/>
              </w:rPr>
            </w:pPr>
            <w:r>
              <w:rPr>
                <w:rFonts w:cs="Poppins"/>
                <w:kern w:val="0"/>
              </w:rPr>
              <w:t>42%</w:t>
            </w:r>
          </w:p>
        </w:tc>
      </w:tr>
    </w:tbl>
    <w:p w14:paraId="7C74FAB3" w14:textId="77777777" w:rsidR="00053E45" w:rsidRPr="009024C1" w:rsidRDefault="00053E45" w:rsidP="004903FF">
      <w:pPr>
        <w:autoSpaceDE w:val="0"/>
        <w:autoSpaceDN w:val="0"/>
        <w:adjustRightInd w:val="0"/>
        <w:spacing w:after="240"/>
        <w:rPr>
          <w:rFonts w:cs="Poppins"/>
          <w:kern w:val="0"/>
          <w:szCs w:val="24"/>
        </w:rPr>
      </w:pPr>
    </w:p>
    <w:p w14:paraId="6496EAD5" w14:textId="1479CE07" w:rsidR="00700A96" w:rsidRPr="009024C1" w:rsidRDefault="006C6AB8" w:rsidP="004903FF">
      <w:pPr>
        <w:autoSpaceDE w:val="0"/>
        <w:autoSpaceDN w:val="0"/>
        <w:adjustRightInd w:val="0"/>
        <w:spacing w:after="240"/>
        <w:rPr>
          <w:rFonts w:cs="Poppins"/>
          <w:kern w:val="0"/>
          <w:szCs w:val="24"/>
        </w:rPr>
      </w:pPr>
      <w:r w:rsidRPr="009024C1">
        <w:rPr>
          <w:rFonts w:cs="Poppins"/>
          <w:kern w:val="0"/>
          <w:szCs w:val="24"/>
        </w:rPr>
        <w:lastRenderedPageBreak/>
        <w:t xml:space="preserve">The clustering of </w:t>
      </w:r>
      <w:r w:rsidR="00656170" w:rsidRPr="009024C1">
        <w:rPr>
          <w:rFonts w:cs="Poppins"/>
          <w:kern w:val="0"/>
          <w:szCs w:val="24"/>
        </w:rPr>
        <w:t>hot food takeaways</w:t>
      </w:r>
      <w:r w:rsidRPr="009024C1">
        <w:rPr>
          <w:rFonts w:cs="Poppins"/>
          <w:kern w:val="0"/>
          <w:szCs w:val="24"/>
        </w:rPr>
        <w:t>, particularly those that are open</w:t>
      </w:r>
      <w:r w:rsidR="00656170" w:rsidRPr="009024C1">
        <w:rPr>
          <w:rFonts w:cs="Poppins"/>
          <w:kern w:val="0"/>
          <w:szCs w:val="24"/>
        </w:rPr>
        <w:t xml:space="preserve"> </w:t>
      </w:r>
      <w:r w:rsidRPr="009024C1">
        <w:rPr>
          <w:rFonts w:cs="Poppins"/>
          <w:kern w:val="0"/>
          <w:szCs w:val="24"/>
        </w:rPr>
        <w:t xml:space="preserve">during the evening and night, can lead to </w:t>
      </w:r>
      <w:r w:rsidR="00877583" w:rsidRPr="009024C1">
        <w:rPr>
          <w:rFonts w:cs="Poppins"/>
          <w:kern w:val="0"/>
          <w:szCs w:val="24"/>
        </w:rPr>
        <w:t>‘</w:t>
      </w:r>
      <w:r w:rsidRPr="009024C1">
        <w:rPr>
          <w:rFonts w:cs="Poppins"/>
          <w:kern w:val="0"/>
          <w:szCs w:val="24"/>
        </w:rPr>
        <w:t>dead</w:t>
      </w:r>
      <w:r w:rsidR="00877583" w:rsidRPr="009024C1">
        <w:rPr>
          <w:rFonts w:cs="Poppins"/>
          <w:kern w:val="0"/>
          <w:szCs w:val="24"/>
        </w:rPr>
        <w:t>’</w:t>
      </w:r>
      <w:r w:rsidRPr="009024C1">
        <w:rPr>
          <w:rFonts w:cs="Poppins"/>
          <w:kern w:val="0"/>
          <w:szCs w:val="24"/>
        </w:rPr>
        <w:t xml:space="preserve"> frontages during the day. This can undermine the retail function of any neighbouring retail premises and impact on the vitality and viability of the area.</w:t>
      </w:r>
    </w:p>
    <w:p w14:paraId="067FEF28" w14:textId="4DE93C65" w:rsidR="006C6AB8" w:rsidRPr="009024C1" w:rsidRDefault="006C6AB8" w:rsidP="004903FF">
      <w:pPr>
        <w:autoSpaceDE w:val="0"/>
        <w:autoSpaceDN w:val="0"/>
        <w:adjustRightInd w:val="0"/>
        <w:spacing w:after="240"/>
        <w:rPr>
          <w:rFonts w:cs="Poppins"/>
          <w:kern w:val="0"/>
          <w:szCs w:val="24"/>
        </w:rPr>
      </w:pPr>
      <w:r w:rsidRPr="009024C1">
        <w:rPr>
          <w:rFonts w:cs="Poppins"/>
          <w:kern w:val="0"/>
          <w:szCs w:val="24"/>
        </w:rPr>
        <w:t>The council is committed to developing vibrant retail centres. A key aim is to attract new visitors. When one use dominates an area</w:t>
      </w:r>
      <w:r w:rsidR="00E837A6" w:rsidRPr="009024C1">
        <w:rPr>
          <w:rFonts w:cs="Poppins"/>
          <w:kern w:val="0"/>
          <w:szCs w:val="24"/>
        </w:rPr>
        <w:t>,</w:t>
      </w:r>
      <w:r w:rsidRPr="009024C1">
        <w:rPr>
          <w:rFonts w:cs="Poppins"/>
          <w:kern w:val="0"/>
          <w:szCs w:val="24"/>
        </w:rPr>
        <w:t xml:space="preserve"> it may have a detrimental </w:t>
      </w:r>
      <w:r w:rsidR="003456E5" w:rsidRPr="009024C1">
        <w:rPr>
          <w:rFonts w:cs="Poppins"/>
          <w:kern w:val="0"/>
          <w:szCs w:val="24"/>
        </w:rPr>
        <w:t>effect</w:t>
      </w:r>
      <w:r w:rsidRPr="009024C1">
        <w:rPr>
          <w:rFonts w:cs="Poppins"/>
          <w:kern w:val="0"/>
          <w:szCs w:val="24"/>
        </w:rPr>
        <w:t xml:space="preserve"> on the image</w:t>
      </w:r>
      <w:r w:rsidR="009A43BF">
        <w:rPr>
          <w:rFonts w:cs="Poppins"/>
          <w:kern w:val="0"/>
          <w:szCs w:val="24"/>
        </w:rPr>
        <w:t xml:space="preserve"> and amenity</w:t>
      </w:r>
      <w:r w:rsidRPr="009024C1">
        <w:rPr>
          <w:rFonts w:cs="Poppins"/>
          <w:kern w:val="0"/>
          <w:szCs w:val="24"/>
        </w:rPr>
        <w:t xml:space="preserve"> of that area and the way it is perceived by potential visitors.</w:t>
      </w:r>
    </w:p>
    <w:p w14:paraId="58A58438" w14:textId="1E5F6FBF" w:rsidR="00A51318" w:rsidRPr="006F154B" w:rsidRDefault="00A51318" w:rsidP="004903FF">
      <w:pPr>
        <w:pStyle w:val="Heading2"/>
        <w:numPr>
          <w:ilvl w:val="0"/>
          <w:numId w:val="12"/>
        </w:numPr>
        <w:spacing w:after="240"/>
        <w:rPr>
          <w:rFonts w:ascii="Poppins" w:hAnsi="Poppins" w:cs="Poppins"/>
          <w:b/>
          <w:bCs/>
          <w:color w:val="auto"/>
          <w:sz w:val="28"/>
          <w:szCs w:val="28"/>
        </w:rPr>
      </w:pPr>
      <w:bookmarkStart w:id="34" w:name="_Toc180660532"/>
      <w:bookmarkStart w:id="35" w:name="_Toc180762280"/>
      <w:r w:rsidRPr="00655073">
        <w:rPr>
          <w:rFonts w:ascii="Poppins" w:hAnsi="Poppins" w:cs="Poppins"/>
          <w:b/>
          <w:bCs/>
          <w:color w:val="auto"/>
          <w:sz w:val="28"/>
          <w:szCs w:val="28"/>
        </w:rPr>
        <w:t>Overview</w:t>
      </w:r>
      <w:bookmarkEnd w:id="34"/>
      <w:bookmarkEnd w:id="35"/>
      <w:r w:rsidR="006F154B">
        <w:rPr>
          <w:rFonts w:ascii="Poppins" w:hAnsi="Poppins" w:cs="Poppins"/>
          <w:b/>
          <w:bCs/>
          <w:color w:val="auto"/>
          <w:sz w:val="28"/>
          <w:szCs w:val="28"/>
        </w:rPr>
        <w:t xml:space="preserve"> of Local Plan policy ef</w:t>
      </w:r>
      <w:r w:rsidR="009C09B9">
        <w:rPr>
          <w:rFonts w:ascii="Poppins" w:hAnsi="Poppins" w:cs="Poppins"/>
          <w:b/>
          <w:bCs/>
          <w:color w:val="auto"/>
          <w:sz w:val="28"/>
          <w:szCs w:val="28"/>
        </w:rPr>
        <w:t>fectiveness</w:t>
      </w:r>
    </w:p>
    <w:p w14:paraId="7E8E4AAB" w14:textId="7C27FABA" w:rsidR="00B24BF0" w:rsidRPr="006F154B" w:rsidRDefault="00B24BF0" w:rsidP="006F154B">
      <w:pPr>
        <w:pStyle w:val="Heading3"/>
        <w:spacing w:after="240"/>
        <w:rPr>
          <w:rFonts w:ascii="Poppins" w:hAnsi="Poppins" w:cs="Poppins"/>
          <w:b/>
          <w:bCs/>
          <w:color w:val="auto"/>
        </w:rPr>
      </w:pPr>
      <w:bookmarkStart w:id="36" w:name="_Toc180660533"/>
      <w:bookmarkStart w:id="37" w:name="_Toc180762281"/>
      <w:r w:rsidRPr="00B24BF0">
        <w:rPr>
          <w:rFonts w:ascii="Poppins" w:hAnsi="Poppins" w:cs="Poppins"/>
          <w:b/>
          <w:bCs/>
          <w:color w:val="auto"/>
        </w:rPr>
        <w:t>Outcomes in Health</w:t>
      </w:r>
      <w:bookmarkEnd w:id="36"/>
      <w:bookmarkEnd w:id="37"/>
    </w:p>
    <w:p w14:paraId="401C4A21" w14:textId="77777777" w:rsidR="009C09B9" w:rsidRDefault="006502F5" w:rsidP="004903FF">
      <w:pPr>
        <w:spacing w:after="240"/>
        <w:rPr>
          <w:szCs w:val="24"/>
        </w:rPr>
      </w:pPr>
      <w:r>
        <w:rPr>
          <w:szCs w:val="24"/>
        </w:rPr>
        <w:t>S</w:t>
      </w:r>
      <w:r w:rsidRPr="00B24BF0">
        <w:rPr>
          <w:szCs w:val="24"/>
        </w:rPr>
        <w:t>ince the original health evidence was produced in 2015</w:t>
      </w:r>
      <w:r>
        <w:rPr>
          <w:szCs w:val="24"/>
        </w:rPr>
        <w:t xml:space="preserve">, </w:t>
      </w:r>
      <w:r w:rsidR="00B24BF0" w:rsidRPr="00B24BF0">
        <w:rPr>
          <w:szCs w:val="24"/>
        </w:rPr>
        <w:t>health issues related to obesity within North Tyneside continue to exist. This includes a lower than the England average in life expectancy and high levels of CVD and CHD.</w:t>
      </w:r>
    </w:p>
    <w:p w14:paraId="526F9097" w14:textId="13E920CC" w:rsidR="00B24BF0" w:rsidRPr="009C09B9" w:rsidRDefault="00B24BF0" w:rsidP="009C09B9">
      <w:pPr>
        <w:spacing w:after="240"/>
        <w:rPr>
          <w:szCs w:val="24"/>
        </w:rPr>
      </w:pPr>
      <w:r w:rsidRPr="00B24BF0">
        <w:rPr>
          <w:szCs w:val="24"/>
        </w:rPr>
        <w:t>With regards to levels of obesity, the data shows that obesity in adults has increased since the original health</w:t>
      </w:r>
      <w:r w:rsidR="00A33F5A">
        <w:rPr>
          <w:szCs w:val="24"/>
        </w:rPr>
        <w:t xml:space="preserve"> evidence</w:t>
      </w:r>
      <w:r w:rsidRPr="00B24BF0">
        <w:rPr>
          <w:szCs w:val="24"/>
        </w:rPr>
        <w:t xml:space="preserve"> was produced. </w:t>
      </w:r>
    </w:p>
    <w:p w14:paraId="0C6F94EE" w14:textId="1D97BCEB" w:rsidR="00B24BF0" w:rsidRPr="00B24BF0" w:rsidRDefault="00460FDE" w:rsidP="004903FF">
      <w:pPr>
        <w:pStyle w:val="ListBullet"/>
        <w:numPr>
          <w:ilvl w:val="0"/>
          <w:numId w:val="0"/>
        </w:numPr>
        <w:spacing w:after="240"/>
        <w:contextualSpacing w:val="0"/>
        <w:rPr>
          <w:szCs w:val="24"/>
        </w:rPr>
      </w:pPr>
      <w:r>
        <w:rPr>
          <w:szCs w:val="24"/>
        </w:rPr>
        <w:t>T</w:t>
      </w:r>
      <w:r w:rsidR="006F44C5" w:rsidRPr="00B24BF0">
        <w:rPr>
          <w:szCs w:val="24"/>
        </w:rPr>
        <w:t>he levels of childhood obesity in Reception and Year 6 children in North Tyneside has fluctuated</w:t>
      </w:r>
      <w:r w:rsidR="00383927">
        <w:rPr>
          <w:szCs w:val="24"/>
        </w:rPr>
        <w:t>. The data identifies that the levels of obesity had sharply increased in 2020/21, however th</w:t>
      </w:r>
      <w:r w:rsidR="00544468">
        <w:rPr>
          <w:szCs w:val="24"/>
        </w:rPr>
        <w:t>is</w:t>
      </w:r>
      <w:r w:rsidR="00383927">
        <w:rPr>
          <w:szCs w:val="24"/>
        </w:rPr>
        <w:t xml:space="preserve"> </w:t>
      </w:r>
      <w:r w:rsidR="00544468">
        <w:rPr>
          <w:szCs w:val="24"/>
        </w:rPr>
        <w:t xml:space="preserve">is </w:t>
      </w:r>
      <w:r w:rsidR="00383927">
        <w:rPr>
          <w:szCs w:val="24"/>
        </w:rPr>
        <w:t>now recovering</w:t>
      </w:r>
      <w:r w:rsidR="00544468">
        <w:rPr>
          <w:szCs w:val="24"/>
        </w:rPr>
        <w:t xml:space="preserve"> back</w:t>
      </w:r>
      <w:r w:rsidR="00383927">
        <w:rPr>
          <w:szCs w:val="24"/>
        </w:rPr>
        <w:t xml:space="preserve"> to lower levels recorded in 2018/19.</w:t>
      </w:r>
      <w:r>
        <w:rPr>
          <w:szCs w:val="24"/>
        </w:rPr>
        <w:t xml:space="preserve"> T</w:t>
      </w:r>
      <w:r w:rsidR="00B24BF0" w:rsidRPr="00B24BF0">
        <w:rPr>
          <w:szCs w:val="24"/>
        </w:rPr>
        <w:t xml:space="preserve">he levels of obesity </w:t>
      </w:r>
      <w:r w:rsidR="00604240">
        <w:rPr>
          <w:szCs w:val="24"/>
        </w:rPr>
        <w:t>in</w:t>
      </w:r>
      <w:r w:rsidR="00B24BF0" w:rsidRPr="00B24BF0">
        <w:rPr>
          <w:szCs w:val="24"/>
        </w:rPr>
        <w:t xml:space="preserve"> Year 6 children </w:t>
      </w:r>
      <w:r w:rsidR="006502F5">
        <w:rPr>
          <w:szCs w:val="24"/>
        </w:rPr>
        <w:t>continue to</w:t>
      </w:r>
      <w:r w:rsidR="00B24BF0" w:rsidRPr="00B24BF0">
        <w:rPr>
          <w:szCs w:val="24"/>
        </w:rPr>
        <w:t xml:space="preserve"> present a disparity between coastal wards and the rest of the Borough</w:t>
      </w:r>
      <w:r w:rsidR="005075A7">
        <w:rPr>
          <w:szCs w:val="24"/>
        </w:rPr>
        <w:t>.</w:t>
      </w:r>
    </w:p>
    <w:p w14:paraId="1D8E0D3E" w14:textId="719BDB5B" w:rsidR="00CD233F" w:rsidRDefault="00460FDE" w:rsidP="004903FF">
      <w:pPr>
        <w:spacing w:after="240"/>
        <w:rPr>
          <w:b/>
          <w:bCs/>
        </w:rPr>
      </w:pPr>
      <w:r w:rsidRPr="00B24BF0">
        <w:rPr>
          <w:szCs w:val="24"/>
        </w:rPr>
        <w:t xml:space="preserve">As a result of persisting health issues and increasing levels of obesity, this evidence supports the need for </w:t>
      </w:r>
      <w:r>
        <w:rPr>
          <w:szCs w:val="24"/>
        </w:rPr>
        <w:t xml:space="preserve">continued </w:t>
      </w:r>
      <w:r w:rsidRPr="00B24BF0">
        <w:rPr>
          <w:szCs w:val="24"/>
        </w:rPr>
        <w:t xml:space="preserve">intervention through planning </w:t>
      </w:r>
      <w:r>
        <w:rPr>
          <w:szCs w:val="24"/>
        </w:rPr>
        <w:t>policy for</w:t>
      </w:r>
      <w:r w:rsidRPr="00B24BF0">
        <w:rPr>
          <w:szCs w:val="24"/>
        </w:rPr>
        <w:t xml:space="preserve"> hot food takeaway outlets in North Tyneside.  </w:t>
      </w:r>
    </w:p>
    <w:p w14:paraId="2CB55594" w14:textId="5AAA213B" w:rsidR="00CD233F" w:rsidRDefault="000A35DD" w:rsidP="004903FF">
      <w:pPr>
        <w:pStyle w:val="Heading3"/>
        <w:spacing w:after="240"/>
        <w:rPr>
          <w:rFonts w:ascii="Poppins" w:hAnsi="Poppins" w:cs="Poppins"/>
          <w:b/>
          <w:bCs/>
          <w:color w:val="auto"/>
        </w:rPr>
      </w:pPr>
      <w:r>
        <w:rPr>
          <w:rFonts w:ascii="Poppins" w:hAnsi="Poppins" w:cs="Poppins"/>
          <w:b/>
          <w:bCs/>
          <w:color w:val="auto"/>
        </w:rPr>
        <w:t>Planning control of hot food takeaways</w:t>
      </w:r>
    </w:p>
    <w:p w14:paraId="125B336C" w14:textId="77777777" w:rsidR="00CD233F" w:rsidRPr="00CD233F" w:rsidRDefault="00CD233F" w:rsidP="004903FF">
      <w:pPr>
        <w:spacing w:after="240"/>
      </w:pPr>
    </w:p>
    <w:p w14:paraId="7BF2BCBF" w14:textId="7555AC9F" w:rsidR="00FA1BF4" w:rsidRDefault="000A35DD" w:rsidP="004903FF">
      <w:pPr>
        <w:pStyle w:val="ListBullet"/>
        <w:numPr>
          <w:ilvl w:val="0"/>
          <w:numId w:val="0"/>
        </w:numPr>
        <w:spacing w:after="240"/>
        <w:contextualSpacing w:val="0"/>
        <w:rPr>
          <w:szCs w:val="24"/>
        </w:rPr>
      </w:pPr>
      <w:r>
        <w:rPr>
          <w:szCs w:val="24"/>
        </w:rPr>
        <w:lastRenderedPageBreak/>
        <w:t>Since adoption of the current Local Plan policy to manage hot food takeaways,</w:t>
      </w:r>
      <w:r w:rsidR="00CD233F" w:rsidRPr="001D4B79">
        <w:rPr>
          <w:szCs w:val="24"/>
        </w:rPr>
        <w:t xml:space="preserve"> the number of</w:t>
      </w:r>
      <w:r w:rsidR="005075A7">
        <w:rPr>
          <w:szCs w:val="24"/>
        </w:rPr>
        <w:t xml:space="preserve"> operational</w:t>
      </w:r>
      <w:r w:rsidR="00CD233F" w:rsidRPr="001D4B79">
        <w:rPr>
          <w:szCs w:val="24"/>
        </w:rPr>
        <w:t xml:space="preserve"> outlets in North Tyneside has </w:t>
      </w:r>
      <w:r w:rsidR="005075A7">
        <w:rPr>
          <w:szCs w:val="24"/>
        </w:rPr>
        <w:t>de</w:t>
      </w:r>
      <w:r w:rsidR="00CD233F" w:rsidRPr="001D4B79">
        <w:rPr>
          <w:szCs w:val="24"/>
        </w:rPr>
        <w:t xml:space="preserve">creased from 197 to </w:t>
      </w:r>
      <w:r w:rsidR="00853C1F">
        <w:rPr>
          <w:szCs w:val="24"/>
        </w:rPr>
        <w:t xml:space="preserve">190 </w:t>
      </w:r>
      <w:r w:rsidR="00CF5C9A">
        <w:rPr>
          <w:szCs w:val="24"/>
        </w:rPr>
        <w:t>units. Currently a further 21 units are recorded as last used as a hot food takeaway but are presently vacant or otherwise unoccupied. Therefore, it is possible that some new locations could open in locations where the principle use for hot food takeaway is already established.</w:t>
      </w:r>
    </w:p>
    <w:p w14:paraId="3410E30C" w14:textId="5E134E1B" w:rsidR="00C84473" w:rsidRDefault="000A35DD" w:rsidP="004903FF">
      <w:pPr>
        <w:pStyle w:val="ListBullet"/>
        <w:numPr>
          <w:ilvl w:val="0"/>
          <w:numId w:val="0"/>
        </w:numPr>
        <w:spacing w:after="240"/>
        <w:contextualSpacing w:val="0"/>
        <w:rPr>
          <w:szCs w:val="24"/>
        </w:rPr>
      </w:pPr>
      <w:r>
        <w:rPr>
          <w:szCs w:val="24"/>
        </w:rPr>
        <w:t>T</w:t>
      </w:r>
      <w:r w:rsidR="00CD233F" w:rsidRPr="001D4B79">
        <w:rPr>
          <w:szCs w:val="24"/>
        </w:rPr>
        <w:t xml:space="preserve">he Local Plan </w:t>
      </w:r>
      <w:r w:rsidR="00604240">
        <w:rPr>
          <w:szCs w:val="24"/>
        </w:rPr>
        <w:t>p</w:t>
      </w:r>
      <w:r w:rsidR="00CD233F" w:rsidRPr="001D4B79">
        <w:rPr>
          <w:szCs w:val="24"/>
        </w:rPr>
        <w:t>olicy has been successful</w:t>
      </w:r>
      <w:r w:rsidR="00390B7B">
        <w:rPr>
          <w:szCs w:val="24"/>
        </w:rPr>
        <w:t>ly</w:t>
      </w:r>
      <w:r w:rsidR="00CD233F" w:rsidRPr="001D4B79">
        <w:rPr>
          <w:szCs w:val="24"/>
        </w:rPr>
        <w:t xml:space="preserve"> </w:t>
      </w:r>
      <w:r w:rsidR="00390B7B">
        <w:rPr>
          <w:szCs w:val="24"/>
        </w:rPr>
        <w:t xml:space="preserve">applied </w:t>
      </w:r>
      <w:r w:rsidR="00F13AD6">
        <w:rPr>
          <w:szCs w:val="24"/>
        </w:rPr>
        <w:t>in defending all</w:t>
      </w:r>
      <w:r w:rsidR="00390B7B">
        <w:rPr>
          <w:szCs w:val="24"/>
        </w:rPr>
        <w:t xml:space="preserve"> </w:t>
      </w:r>
      <w:r w:rsidR="00F13AD6">
        <w:rPr>
          <w:szCs w:val="24"/>
        </w:rPr>
        <w:t xml:space="preserve">appeals against refusals of </w:t>
      </w:r>
      <w:r w:rsidR="00C84473">
        <w:rPr>
          <w:szCs w:val="24"/>
        </w:rPr>
        <w:t>planning permission for new</w:t>
      </w:r>
      <w:r w:rsidR="00CD233F" w:rsidRPr="001D4B79">
        <w:rPr>
          <w:szCs w:val="24"/>
        </w:rPr>
        <w:t xml:space="preserve"> hot food takeaway</w:t>
      </w:r>
      <w:r w:rsidR="00604240">
        <w:rPr>
          <w:szCs w:val="24"/>
        </w:rPr>
        <w:t>s</w:t>
      </w:r>
      <w:r w:rsidR="00C84473">
        <w:rPr>
          <w:szCs w:val="24"/>
        </w:rPr>
        <w:t xml:space="preserve">. </w:t>
      </w:r>
      <w:r w:rsidR="00CD233F" w:rsidRPr="001D4B79">
        <w:rPr>
          <w:szCs w:val="24"/>
        </w:rPr>
        <w:t>The most recent</w:t>
      </w:r>
      <w:r w:rsidR="00C84473">
        <w:rPr>
          <w:szCs w:val="24"/>
        </w:rPr>
        <w:t xml:space="preserve"> appeal was</w:t>
      </w:r>
      <w:r w:rsidR="00CD233F" w:rsidRPr="001D4B79">
        <w:rPr>
          <w:szCs w:val="24"/>
        </w:rPr>
        <w:t xml:space="preserve"> dismiss</w:t>
      </w:r>
      <w:r w:rsidR="00C84473">
        <w:rPr>
          <w:szCs w:val="24"/>
        </w:rPr>
        <w:t>ed</w:t>
      </w:r>
      <w:r w:rsidR="00CD233F" w:rsidRPr="001D4B79">
        <w:rPr>
          <w:szCs w:val="24"/>
        </w:rPr>
        <w:t xml:space="preserve"> for the proposed change of use of a</w:t>
      </w:r>
      <w:r w:rsidR="008F5809">
        <w:rPr>
          <w:szCs w:val="24"/>
        </w:rPr>
        <w:t xml:space="preserve">n unoccupied unit </w:t>
      </w:r>
      <w:r w:rsidR="00CD233F" w:rsidRPr="001D4B79">
        <w:rPr>
          <w:szCs w:val="24"/>
        </w:rPr>
        <w:t>into a hot food takeaway outlet in Forest Hall district centre (application reference: 22/00884/FUL).</w:t>
      </w:r>
    </w:p>
    <w:p w14:paraId="0945D7D8" w14:textId="1A5B1A69" w:rsidR="00CD233F" w:rsidRPr="001D4B79" w:rsidRDefault="00CD233F" w:rsidP="004903FF">
      <w:pPr>
        <w:pStyle w:val="ListBullet"/>
        <w:numPr>
          <w:ilvl w:val="0"/>
          <w:numId w:val="0"/>
        </w:numPr>
        <w:spacing w:after="240"/>
        <w:contextualSpacing w:val="0"/>
        <w:rPr>
          <w:szCs w:val="24"/>
        </w:rPr>
      </w:pPr>
      <w:r w:rsidRPr="001D4B79">
        <w:rPr>
          <w:szCs w:val="24"/>
        </w:rPr>
        <w:t xml:space="preserve">The Planning Inspector dismissed the appeal due to the requirements outlined in the Local Plan </w:t>
      </w:r>
      <w:r w:rsidR="008F2AF3">
        <w:rPr>
          <w:szCs w:val="24"/>
        </w:rPr>
        <w:t>p</w:t>
      </w:r>
      <w:r w:rsidRPr="001D4B79">
        <w:rPr>
          <w:szCs w:val="24"/>
        </w:rPr>
        <w:t xml:space="preserve">olicy and the socio-environmental impacts </w:t>
      </w:r>
      <w:proofErr w:type="gramStart"/>
      <w:r w:rsidRPr="001D4B79">
        <w:rPr>
          <w:szCs w:val="24"/>
        </w:rPr>
        <w:t>as a consequence of</w:t>
      </w:r>
      <w:proofErr w:type="gramEnd"/>
      <w:r w:rsidRPr="001D4B79">
        <w:rPr>
          <w:szCs w:val="24"/>
        </w:rPr>
        <w:t xml:space="preserve"> an additional hot food takeaway</w:t>
      </w:r>
      <w:r w:rsidR="008F5809">
        <w:rPr>
          <w:szCs w:val="24"/>
        </w:rPr>
        <w:t xml:space="preserve"> in the </w:t>
      </w:r>
      <w:r w:rsidR="00604240">
        <w:rPr>
          <w:szCs w:val="24"/>
        </w:rPr>
        <w:t xml:space="preserve">retail </w:t>
      </w:r>
      <w:r w:rsidR="008F5809">
        <w:rPr>
          <w:szCs w:val="24"/>
        </w:rPr>
        <w:t>centre</w:t>
      </w:r>
      <w:r w:rsidRPr="001D4B79">
        <w:rPr>
          <w:szCs w:val="24"/>
        </w:rPr>
        <w:t>. The Inspector stated:</w:t>
      </w:r>
    </w:p>
    <w:p w14:paraId="6D421F17" w14:textId="77777777" w:rsidR="00CD233F" w:rsidRPr="001D4B79" w:rsidRDefault="00CD233F" w:rsidP="004903FF">
      <w:pPr>
        <w:pStyle w:val="ListBullet"/>
        <w:numPr>
          <w:ilvl w:val="0"/>
          <w:numId w:val="0"/>
        </w:numPr>
        <w:spacing w:after="240"/>
        <w:contextualSpacing w:val="0"/>
        <w:rPr>
          <w:i/>
          <w:iCs/>
          <w:szCs w:val="24"/>
        </w:rPr>
      </w:pPr>
      <w:r w:rsidRPr="001D4B79">
        <w:rPr>
          <w:i/>
          <w:iCs/>
          <w:szCs w:val="24"/>
        </w:rPr>
        <w:t>“In this instance, the key harm arising through the development would be the introduction of an additional use that is identified through development plan policy as intrinsically linked to adverse effects on the health of residents”.</w:t>
      </w:r>
    </w:p>
    <w:p w14:paraId="19AFF953" w14:textId="7224A032" w:rsidR="00CD233F" w:rsidRPr="001D4B79" w:rsidRDefault="00CD233F" w:rsidP="004903FF">
      <w:pPr>
        <w:pStyle w:val="ListBullet"/>
        <w:numPr>
          <w:ilvl w:val="0"/>
          <w:numId w:val="0"/>
        </w:numPr>
        <w:spacing w:after="240"/>
        <w:contextualSpacing w:val="0"/>
        <w:rPr>
          <w:szCs w:val="24"/>
        </w:rPr>
      </w:pPr>
      <w:r w:rsidRPr="001D4B79">
        <w:rPr>
          <w:szCs w:val="24"/>
        </w:rPr>
        <w:t xml:space="preserve">With regards to impacts on local levels of childhood obesity and location of hot food takeaways, the Inspector stated: </w:t>
      </w:r>
    </w:p>
    <w:p w14:paraId="1EDD67C7" w14:textId="01BADABE" w:rsidR="001D4B79" w:rsidRPr="001D4B79" w:rsidRDefault="00CD233F" w:rsidP="004903FF">
      <w:pPr>
        <w:pStyle w:val="ListBullet"/>
        <w:numPr>
          <w:ilvl w:val="0"/>
          <w:numId w:val="0"/>
        </w:numPr>
        <w:spacing w:after="240"/>
        <w:contextualSpacing w:val="0"/>
        <w:rPr>
          <w:i/>
          <w:iCs/>
          <w:szCs w:val="24"/>
        </w:rPr>
        <w:sectPr w:rsidR="001D4B79" w:rsidRPr="001D4B79" w:rsidSect="000D6424">
          <w:pgSz w:w="11906" w:h="16838"/>
          <w:pgMar w:top="1440" w:right="1440" w:bottom="1440" w:left="1440" w:header="708" w:footer="708" w:gutter="0"/>
          <w:cols w:space="708"/>
          <w:titlePg/>
          <w:docGrid w:linePitch="360"/>
        </w:sectPr>
      </w:pPr>
      <w:r w:rsidRPr="001D4B79">
        <w:rPr>
          <w:i/>
          <w:iCs/>
          <w:szCs w:val="24"/>
        </w:rPr>
        <w:t>“Just because the development is located more than 400 metres from a middle or secondary school does not mean that children will not be exposed to its products, and it seems to me that the location within a ward with such high rates of childhood obesity means particular care should be taken in this regard, even if other services and available products, including snacks, may also be a driver of childhood obesity</w:t>
      </w:r>
      <w:r w:rsidR="001D4B79">
        <w:rPr>
          <w:i/>
          <w:iCs/>
          <w:szCs w:val="24"/>
        </w:rPr>
        <w:t xml:space="preserve">”. </w:t>
      </w:r>
    </w:p>
    <w:p w14:paraId="5713568D" w14:textId="5E5E0157" w:rsidR="00305991" w:rsidRPr="00F13AD6" w:rsidRDefault="001D4B79" w:rsidP="004903FF">
      <w:pPr>
        <w:pStyle w:val="Heading2"/>
        <w:numPr>
          <w:ilvl w:val="0"/>
          <w:numId w:val="12"/>
        </w:numPr>
        <w:spacing w:after="240"/>
        <w:rPr>
          <w:rFonts w:ascii="Poppins" w:hAnsi="Poppins" w:cs="Poppins"/>
          <w:b/>
          <w:bCs/>
          <w:color w:val="auto"/>
          <w:sz w:val="28"/>
          <w:szCs w:val="28"/>
        </w:rPr>
      </w:pPr>
      <w:bookmarkStart w:id="38" w:name="_Toc180660536"/>
      <w:bookmarkStart w:id="39" w:name="_Toc180762284"/>
      <w:r w:rsidRPr="00655073">
        <w:rPr>
          <w:rFonts w:ascii="Poppins" w:hAnsi="Poppins" w:cs="Poppins"/>
          <w:b/>
          <w:bCs/>
          <w:color w:val="auto"/>
          <w:sz w:val="28"/>
          <w:szCs w:val="28"/>
        </w:rPr>
        <w:lastRenderedPageBreak/>
        <w:t>C</w:t>
      </w:r>
      <w:r w:rsidR="00305991" w:rsidRPr="00655073">
        <w:rPr>
          <w:rFonts w:ascii="Poppins" w:hAnsi="Poppins" w:cs="Poppins"/>
          <w:b/>
          <w:bCs/>
          <w:color w:val="auto"/>
          <w:sz w:val="28"/>
          <w:szCs w:val="28"/>
        </w:rPr>
        <w:t>onclusion</w:t>
      </w:r>
      <w:bookmarkEnd w:id="38"/>
      <w:bookmarkEnd w:id="39"/>
    </w:p>
    <w:p w14:paraId="066D1510" w14:textId="184C1D12" w:rsidR="005C74F3" w:rsidRDefault="00891BC6" w:rsidP="004903FF">
      <w:pPr>
        <w:pStyle w:val="ListBullet"/>
        <w:numPr>
          <w:ilvl w:val="0"/>
          <w:numId w:val="0"/>
        </w:numPr>
        <w:spacing w:after="240"/>
        <w:contextualSpacing w:val="0"/>
        <w:rPr>
          <w:szCs w:val="24"/>
        </w:rPr>
      </w:pPr>
      <w:r w:rsidRPr="001D4B79">
        <w:rPr>
          <w:szCs w:val="24"/>
        </w:rPr>
        <w:t xml:space="preserve">Local Plan </w:t>
      </w:r>
      <w:r w:rsidR="008F2AF3">
        <w:rPr>
          <w:szCs w:val="24"/>
        </w:rPr>
        <w:t>p</w:t>
      </w:r>
      <w:r w:rsidRPr="001D4B79">
        <w:rPr>
          <w:szCs w:val="24"/>
        </w:rPr>
        <w:t>olicy DM3.7</w:t>
      </w:r>
      <w:r w:rsidR="00604240">
        <w:rPr>
          <w:szCs w:val="24"/>
        </w:rPr>
        <w:t xml:space="preserve">: ‘Hot Food Takeaways’, </w:t>
      </w:r>
      <w:r w:rsidRPr="001D4B79">
        <w:rPr>
          <w:szCs w:val="24"/>
        </w:rPr>
        <w:t xml:space="preserve">was adopted in 2017 to address </w:t>
      </w:r>
      <w:r w:rsidR="005C74F3">
        <w:rPr>
          <w:szCs w:val="24"/>
        </w:rPr>
        <w:t>the in</w:t>
      </w:r>
      <w:r w:rsidRPr="001D4B79">
        <w:rPr>
          <w:szCs w:val="24"/>
        </w:rPr>
        <w:t>creasing levels of obesity and related health issues in North Tyneside</w:t>
      </w:r>
      <w:r w:rsidR="00D22569">
        <w:rPr>
          <w:szCs w:val="24"/>
        </w:rPr>
        <w:t xml:space="preserve">. </w:t>
      </w:r>
      <w:r w:rsidRPr="001D4B79">
        <w:rPr>
          <w:szCs w:val="24"/>
        </w:rPr>
        <w:t xml:space="preserve">The adoption of the </w:t>
      </w:r>
      <w:r w:rsidR="0091123B">
        <w:rPr>
          <w:szCs w:val="24"/>
        </w:rPr>
        <w:t>p</w:t>
      </w:r>
      <w:r w:rsidRPr="001D4B79">
        <w:rPr>
          <w:szCs w:val="24"/>
        </w:rPr>
        <w:t xml:space="preserve">olicy has been successful in local </w:t>
      </w:r>
      <w:r w:rsidR="0091123B">
        <w:rPr>
          <w:szCs w:val="24"/>
        </w:rPr>
        <w:t>p</w:t>
      </w:r>
      <w:r w:rsidRPr="001D4B79">
        <w:rPr>
          <w:szCs w:val="24"/>
        </w:rPr>
        <w:t xml:space="preserve">lanning practice </w:t>
      </w:r>
      <w:r w:rsidR="00D22569">
        <w:rPr>
          <w:szCs w:val="24"/>
        </w:rPr>
        <w:t xml:space="preserve">and </w:t>
      </w:r>
      <w:r w:rsidRPr="001D4B79">
        <w:rPr>
          <w:szCs w:val="24"/>
        </w:rPr>
        <w:t xml:space="preserve">has ensured that new </w:t>
      </w:r>
      <w:r w:rsidR="005C74F3">
        <w:rPr>
          <w:szCs w:val="24"/>
        </w:rPr>
        <w:t>h</w:t>
      </w:r>
      <w:r w:rsidRPr="001D4B79">
        <w:rPr>
          <w:szCs w:val="24"/>
        </w:rPr>
        <w:t xml:space="preserve">ot </w:t>
      </w:r>
      <w:r w:rsidR="005C74F3">
        <w:rPr>
          <w:szCs w:val="24"/>
        </w:rPr>
        <w:t>f</w:t>
      </w:r>
      <w:r w:rsidRPr="001D4B79">
        <w:rPr>
          <w:szCs w:val="24"/>
        </w:rPr>
        <w:t xml:space="preserve">ood </w:t>
      </w:r>
      <w:r w:rsidR="005C74F3">
        <w:rPr>
          <w:szCs w:val="24"/>
        </w:rPr>
        <w:t>t</w:t>
      </w:r>
      <w:r w:rsidRPr="001D4B79">
        <w:rPr>
          <w:szCs w:val="24"/>
        </w:rPr>
        <w:t>akeaways are only permitted in appropriate locations</w:t>
      </w:r>
      <w:r w:rsidR="005C74F3">
        <w:rPr>
          <w:szCs w:val="24"/>
        </w:rPr>
        <w:t xml:space="preserve"> as set out in the policy requirements.  </w:t>
      </w:r>
    </w:p>
    <w:p w14:paraId="4810BD2E" w14:textId="77777777" w:rsidR="00D22569" w:rsidRDefault="00891BC6" w:rsidP="004903FF">
      <w:pPr>
        <w:pStyle w:val="ListBullet"/>
        <w:numPr>
          <w:ilvl w:val="0"/>
          <w:numId w:val="0"/>
        </w:numPr>
        <w:spacing w:after="240"/>
        <w:contextualSpacing w:val="0"/>
        <w:rPr>
          <w:szCs w:val="24"/>
        </w:rPr>
      </w:pPr>
      <w:r w:rsidRPr="001D4B79">
        <w:rPr>
          <w:szCs w:val="24"/>
        </w:rPr>
        <w:t xml:space="preserve">This review concludes that </w:t>
      </w:r>
      <w:r w:rsidR="0091123B">
        <w:rPr>
          <w:szCs w:val="24"/>
        </w:rPr>
        <w:t xml:space="preserve">the </w:t>
      </w:r>
      <w:r w:rsidRPr="001D4B79">
        <w:rPr>
          <w:szCs w:val="24"/>
        </w:rPr>
        <w:t xml:space="preserve">Local Plan </w:t>
      </w:r>
      <w:r w:rsidR="008F2AF3">
        <w:rPr>
          <w:szCs w:val="24"/>
        </w:rPr>
        <w:t>p</w:t>
      </w:r>
      <w:r w:rsidRPr="001D4B79">
        <w:rPr>
          <w:szCs w:val="24"/>
        </w:rPr>
        <w:t>olicy DM3.7 remain</w:t>
      </w:r>
      <w:r w:rsidR="00D22569">
        <w:rPr>
          <w:szCs w:val="24"/>
        </w:rPr>
        <w:t>s</w:t>
      </w:r>
      <w:r w:rsidRPr="001D4B79">
        <w:rPr>
          <w:szCs w:val="24"/>
        </w:rPr>
        <w:t xml:space="preserve"> </w:t>
      </w:r>
      <w:r w:rsidR="00D22569">
        <w:rPr>
          <w:szCs w:val="24"/>
        </w:rPr>
        <w:t>a suitable and robust policy for managing proliferation of hot food takeaways.</w:t>
      </w:r>
    </w:p>
    <w:p w14:paraId="2AEE1BD8" w14:textId="6DBECFF0" w:rsidR="00537CBC" w:rsidRDefault="00D22569" w:rsidP="004903FF">
      <w:pPr>
        <w:pStyle w:val="ListBullet"/>
        <w:numPr>
          <w:ilvl w:val="0"/>
          <w:numId w:val="0"/>
        </w:numPr>
        <w:spacing w:after="240"/>
        <w:contextualSpacing w:val="0"/>
        <w:rPr>
          <w:szCs w:val="24"/>
        </w:rPr>
      </w:pPr>
      <w:r>
        <w:rPr>
          <w:szCs w:val="24"/>
        </w:rPr>
        <w:t xml:space="preserve">Latest NPPF and planning guidance, closely reflect current Local Plan policy but make specific exceptions to allow new hot food takeaways within town centre locations. However, a further provision allows for restrictions where there are harmful impacts on health and </w:t>
      </w:r>
      <w:r w:rsidR="00537CBC">
        <w:rPr>
          <w:szCs w:val="24"/>
        </w:rPr>
        <w:t xml:space="preserve">amenity </w:t>
      </w:r>
      <w:proofErr w:type="gramStart"/>
      <w:r w:rsidR="00537CBC">
        <w:rPr>
          <w:szCs w:val="24"/>
        </w:rPr>
        <w:t>as a result of</w:t>
      </w:r>
      <w:proofErr w:type="gramEnd"/>
      <w:r w:rsidR="00537CBC">
        <w:rPr>
          <w:szCs w:val="24"/>
        </w:rPr>
        <w:t xml:space="preserve"> concentrations of hot food takeaways.</w:t>
      </w:r>
    </w:p>
    <w:p w14:paraId="38B20CD7" w14:textId="3CC9B62C" w:rsidR="00537CBC" w:rsidRDefault="00537CBC" w:rsidP="004903FF">
      <w:pPr>
        <w:pStyle w:val="ListBullet"/>
        <w:numPr>
          <w:ilvl w:val="0"/>
          <w:numId w:val="0"/>
        </w:numPr>
        <w:spacing w:after="240"/>
        <w:contextualSpacing w:val="0"/>
        <w:rPr>
          <w:szCs w:val="24"/>
        </w:rPr>
      </w:pPr>
      <w:r>
        <w:rPr>
          <w:szCs w:val="24"/>
        </w:rPr>
        <w:t xml:space="preserve">The evidence presented here demonstrates that there continues to be harmful impacts arising </w:t>
      </w:r>
      <w:proofErr w:type="gramStart"/>
      <w:r>
        <w:rPr>
          <w:szCs w:val="24"/>
        </w:rPr>
        <w:t>as a result of</w:t>
      </w:r>
      <w:proofErr w:type="gramEnd"/>
      <w:r>
        <w:rPr>
          <w:szCs w:val="24"/>
        </w:rPr>
        <w:t xml:space="preserve"> the concentrations of hot food takeaways that are demonstrated as existing within each of the Borough’s town centres </w:t>
      </w:r>
      <w:r w:rsidR="005230E3">
        <w:rPr>
          <w:szCs w:val="24"/>
        </w:rPr>
        <w:t xml:space="preserve">– </w:t>
      </w:r>
      <w:proofErr w:type="gramStart"/>
      <w:r w:rsidR="005230E3">
        <w:rPr>
          <w:szCs w:val="24"/>
        </w:rPr>
        <w:t>with the exception of</w:t>
      </w:r>
      <w:proofErr w:type="gramEnd"/>
      <w:r w:rsidR="005230E3">
        <w:rPr>
          <w:szCs w:val="24"/>
        </w:rPr>
        <w:t xml:space="preserve"> Killingworth town centre.</w:t>
      </w:r>
    </w:p>
    <w:p w14:paraId="57DDCC5F" w14:textId="04134E5C" w:rsidR="00024A19" w:rsidRDefault="005230E3" w:rsidP="004903FF">
      <w:pPr>
        <w:pStyle w:val="ListBullet"/>
        <w:numPr>
          <w:ilvl w:val="0"/>
          <w:numId w:val="0"/>
        </w:numPr>
        <w:spacing w:after="240"/>
        <w:contextualSpacing w:val="0"/>
        <w:rPr>
          <w:szCs w:val="24"/>
        </w:rPr>
      </w:pPr>
      <w:r>
        <w:rPr>
          <w:szCs w:val="24"/>
        </w:rPr>
        <w:t xml:space="preserve">Looking ahead to the effectiveness of planning controls on hot food takeaways </w:t>
      </w:r>
      <w:r w:rsidR="0028401B">
        <w:rPr>
          <w:szCs w:val="24"/>
        </w:rPr>
        <w:t>the increasing</w:t>
      </w:r>
      <w:r w:rsidR="008B5C31">
        <w:rPr>
          <w:szCs w:val="24"/>
        </w:rPr>
        <w:t xml:space="preserve"> popularity and</w:t>
      </w:r>
      <w:r w:rsidR="0028401B">
        <w:rPr>
          <w:szCs w:val="24"/>
        </w:rPr>
        <w:t xml:space="preserve"> ease of access </w:t>
      </w:r>
      <w:r w:rsidR="0091123B">
        <w:rPr>
          <w:szCs w:val="24"/>
        </w:rPr>
        <w:t>of</w:t>
      </w:r>
      <w:r w:rsidR="0028401B">
        <w:rPr>
          <w:szCs w:val="24"/>
        </w:rPr>
        <w:t xml:space="preserve"> unhealthy food</w:t>
      </w:r>
      <w:r w:rsidR="007A0E0E">
        <w:rPr>
          <w:szCs w:val="24"/>
        </w:rPr>
        <w:t>s</w:t>
      </w:r>
      <w:r w:rsidR="0028401B">
        <w:rPr>
          <w:szCs w:val="24"/>
        </w:rPr>
        <w:t xml:space="preserve"> </w:t>
      </w:r>
      <w:r w:rsidR="00024A19">
        <w:rPr>
          <w:szCs w:val="24"/>
        </w:rPr>
        <w:t>via online and use of delivery services</w:t>
      </w:r>
      <w:r>
        <w:rPr>
          <w:szCs w:val="24"/>
        </w:rPr>
        <w:t xml:space="preserve"> is a growing issue for further consideration.</w:t>
      </w:r>
      <w:r w:rsidR="000E188C">
        <w:rPr>
          <w:szCs w:val="24"/>
        </w:rPr>
        <w:t xml:space="preserve"> </w:t>
      </w:r>
    </w:p>
    <w:p w14:paraId="181869ED" w14:textId="77777777" w:rsidR="00024A19" w:rsidRDefault="00024A19" w:rsidP="004903FF">
      <w:pPr>
        <w:pStyle w:val="ListBullet"/>
        <w:numPr>
          <w:ilvl w:val="0"/>
          <w:numId w:val="0"/>
        </w:numPr>
        <w:spacing w:after="240"/>
        <w:contextualSpacing w:val="0"/>
        <w:rPr>
          <w:szCs w:val="24"/>
        </w:rPr>
      </w:pPr>
    </w:p>
    <w:sectPr w:rsidR="00024A19" w:rsidSect="000D6424">
      <w:headerReference w:type="default" r:id="rId2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71DD7" w14:textId="77777777" w:rsidR="00AE4444" w:rsidRDefault="00AE4444" w:rsidP="00D655DA">
      <w:pPr>
        <w:spacing w:after="0" w:line="240" w:lineRule="auto"/>
      </w:pPr>
      <w:r>
        <w:separator/>
      </w:r>
    </w:p>
  </w:endnote>
  <w:endnote w:type="continuationSeparator" w:id="0">
    <w:p w14:paraId="6A32321E" w14:textId="77777777" w:rsidR="00AE4444" w:rsidRDefault="00AE4444" w:rsidP="00D65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946271"/>
      <w:docPartObj>
        <w:docPartGallery w:val="Page Numbers (Bottom of Page)"/>
        <w:docPartUnique/>
      </w:docPartObj>
    </w:sdtPr>
    <w:sdtEndPr>
      <w:rPr>
        <w:noProof/>
      </w:rPr>
    </w:sdtEndPr>
    <w:sdtContent>
      <w:p w14:paraId="32A8FC28" w14:textId="05607AAB" w:rsidR="00F95409" w:rsidRDefault="00F954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00D2EF" w14:textId="77777777" w:rsidR="00F95409" w:rsidRDefault="00F95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986698"/>
      <w:docPartObj>
        <w:docPartGallery w:val="Page Numbers (Bottom of Page)"/>
        <w:docPartUnique/>
      </w:docPartObj>
    </w:sdtPr>
    <w:sdtEndPr>
      <w:rPr>
        <w:noProof/>
      </w:rPr>
    </w:sdtEndPr>
    <w:sdtContent>
      <w:p w14:paraId="68C1F1E7" w14:textId="78AD36D5" w:rsidR="001B1F2E" w:rsidRDefault="001B1F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5EC58F" w14:textId="77777777" w:rsidR="00F95409" w:rsidRDefault="00F95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1D00D" w14:textId="77777777" w:rsidR="00AE4444" w:rsidRDefault="00AE4444" w:rsidP="00D655DA">
      <w:pPr>
        <w:spacing w:after="0" w:line="240" w:lineRule="auto"/>
      </w:pPr>
      <w:r>
        <w:separator/>
      </w:r>
    </w:p>
  </w:footnote>
  <w:footnote w:type="continuationSeparator" w:id="0">
    <w:p w14:paraId="3EB49A01" w14:textId="77777777" w:rsidR="00AE4444" w:rsidRDefault="00AE4444" w:rsidP="00D655DA">
      <w:pPr>
        <w:spacing w:after="0" w:line="240" w:lineRule="auto"/>
      </w:pPr>
      <w:r>
        <w:continuationSeparator/>
      </w:r>
    </w:p>
  </w:footnote>
  <w:footnote w:id="1">
    <w:p w14:paraId="74B8650D" w14:textId="6B5CA6AF" w:rsidR="00402303" w:rsidRDefault="00402303">
      <w:pPr>
        <w:pStyle w:val="FootnoteText"/>
      </w:pPr>
      <w:r>
        <w:rPr>
          <w:rStyle w:val="FootnoteReference"/>
        </w:rPr>
        <w:footnoteRef/>
      </w:r>
      <w:r>
        <w:t xml:space="preserve"> </w:t>
      </w:r>
      <w:r w:rsidR="001A3ABC">
        <w:t>Ministry of Housing, Communities and Local Government</w:t>
      </w:r>
      <w:r>
        <w:t>, ‘The National Planning Policy Framework’, 202</w:t>
      </w:r>
      <w:r w:rsidR="00FE3F19">
        <w:t>4</w:t>
      </w:r>
      <w:r>
        <w:t>.</w:t>
      </w:r>
    </w:p>
  </w:footnote>
  <w:footnote w:id="2">
    <w:p w14:paraId="631859BA" w14:textId="0EA3981A" w:rsidR="001F5178" w:rsidRDefault="001F5178" w:rsidP="001F5178">
      <w:pPr>
        <w:pStyle w:val="FootnoteText"/>
      </w:pPr>
      <w:r w:rsidRPr="00D60C22">
        <w:rPr>
          <w:rStyle w:val="FootnoteReference"/>
        </w:rPr>
        <w:footnoteRef/>
      </w:r>
      <w:r w:rsidRPr="00D60C22">
        <w:t xml:space="preserve"> </w:t>
      </w:r>
      <w:r w:rsidR="001A3ABC">
        <w:t>Ministry of Housing, Communities and Local Government</w:t>
      </w:r>
      <w:r w:rsidR="001A3ABC" w:rsidRPr="00D60C22">
        <w:t xml:space="preserve"> </w:t>
      </w:r>
      <w:r w:rsidRPr="00D60C22">
        <w:t xml:space="preserve">‘National Planning Practice Guidance’, 2022. </w:t>
      </w:r>
    </w:p>
  </w:footnote>
  <w:footnote w:id="3">
    <w:p w14:paraId="19A60A90" w14:textId="77777777" w:rsidR="00FF7A5B" w:rsidRPr="004B3192" w:rsidRDefault="00FF7A5B" w:rsidP="00FF7A5B">
      <w:pPr>
        <w:pStyle w:val="FootnoteText"/>
        <w:rPr>
          <w:sz w:val="16"/>
          <w:szCs w:val="16"/>
        </w:rPr>
      </w:pPr>
      <w:r w:rsidRPr="004B3192">
        <w:rPr>
          <w:rStyle w:val="FootnoteReference"/>
          <w:sz w:val="16"/>
          <w:szCs w:val="16"/>
        </w:rPr>
        <w:footnoteRef/>
      </w:r>
      <w:r w:rsidRPr="004B3192">
        <w:rPr>
          <w:sz w:val="16"/>
          <w:szCs w:val="16"/>
        </w:rPr>
        <w:t xml:space="preserve"> North Tyneside Council, ‘The North Tyneside Local Plan 2017 – 2032’, 2017. </w:t>
      </w:r>
    </w:p>
  </w:footnote>
  <w:footnote w:id="4">
    <w:p w14:paraId="7A705009" w14:textId="0E316F3C" w:rsidR="00974B69" w:rsidRDefault="00974B69" w:rsidP="00974B69">
      <w:pPr>
        <w:pStyle w:val="FootnoteText"/>
      </w:pPr>
      <w:r w:rsidRPr="004B3192">
        <w:rPr>
          <w:rStyle w:val="FootnoteReference"/>
          <w:sz w:val="16"/>
          <w:szCs w:val="16"/>
        </w:rPr>
        <w:footnoteRef/>
      </w:r>
      <w:r w:rsidRPr="004B3192">
        <w:rPr>
          <w:sz w:val="16"/>
          <w:szCs w:val="16"/>
        </w:rPr>
        <w:t xml:space="preserve"> North Tyneside Council, ‘Equally Well: A healthier, fairer future for North Tyneside 2021-2025’, 2021.</w:t>
      </w:r>
      <w:r w:rsidR="0051085C">
        <w:t xml:space="preserve"> </w:t>
      </w:r>
      <w:r>
        <w:t xml:space="preserve"> </w:t>
      </w:r>
    </w:p>
  </w:footnote>
  <w:footnote w:id="5">
    <w:p w14:paraId="15B33465" w14:textId="77777777" w:rsidR="00E53109" w:rsidRDefault="00E53109" w:rsidP="00E53109">
      <w:pPr>
        <w:pStyle w:val="FootnoteText"/>
      </w:pPr>
      <w:r>
        <w:rPr>
          <w:rStyle w:val="FootnoteReference"/>
        </w:rPr>
        <w:footnoteRef/>
      </w:r>
      <w:r>
        <w:t xml:space="preserve"> North Tyneside Council, Healthy Weight Declaration, 2022.</w:t>
      </w:r>
    </w:p>
  </w:footnote>
  <w:footnote w:id="6">
    <w:p w14:paraId="15311ACF" w14:textId="77777777" w:rsidR="003F2BCF" w:rsidRPr="00D60C22" w:rsidRDefault="003F2BCF" w:rsidP="003F2BCF">
      <w:pPr>
        <w:pStyle w:val="FootnoteText"/>
      </w:pPr>
      <w:r w:rsidRPr="00D60C22">
        <w:rPr>
          <w:rStyle w:val="FootnoteReference"/>
        </w:rPr>
        <w:footnoteRef/>
      </w:r>
      <w:r w:rsidRPr="00D60C22">
        <w:t xml:space="preserve"> NICE, ‘Public Health Guidance 25: Cardiovascular disease prevention’, 2010. </w:t>
      </w:r>
    </w:p>
  </w:footnote>
  <w:footnote w:id="7">
    <w:p w14:paraId="6478BD40" w14:textId="77777777" w:rsidR="006E21C4" w:rsidRPr="00D60C22" w:rsidRDefault="006E21C4" w:rsidP="006E21C4">
      <w:pPr>
        <w:pStyle w:val="FootnoteText"/>
      </w:pPr>
      <w:r w:rsidRPr="00D60C22">
        <w:rPr>
          <w:rStyle w:val="FootnoteReference"/>
        </w:rPr>
        <w:footnoteRef/>
      </w:r>
      <w:r w:rsidRPr="00D60C22">
        <w:t xml:space="preserve"> Albalawi, A., et al., ‘Consumption of takeaway and delivery meals is associated with increased BMI and percent fat among UK biobank participants’, 2022. </w:t>
      </w:r>
    </w:p>
  </w:footnote>
  <w:footnote w:id="8">
    <w:p w14:paraId="02E70C99" w14:textId="77777777" w:rsidR="006E21C4" w:rsidRPr="00D60C22" w:rsidRDefault="006E21C4" w:rsidP="006E21C4">
      <w:pPr>
        <w:pStyle w:val="FootnoteText"/>
      </w:pPr>
      <w:r w:rsidRPr="00D60C22">
        <w:rPr>
          <w:rStyle w:val="FootnoteReference"/>
        </w:rPr>
        <w:footnoteRef/>
      </w:r>
      <w:r w:rsidRPr="00D60C22">
        <w:t xml:space="preserve"> Public Health England, ‘Using the planning system to promote healthy weight environments’, 2020. </w:t>
      </w:r>
    </w:p>
  </w:footnote>
  <w:footnote w:id="9">
    <w:p w14:paraId="74DAFA0F" w14:textId="77777777" w:rsidR="006E21C4" w:rsidRDefault="006E21C4" w:rsidP="006E21C4">
      <w:pPr>
        <w:pStyle w:val="FootnoteText"/>
      </w:pPr>
      <w:r w:rsidRPr="00D60C22">
        <w:rPr>
          <w:rStyle w:val="FootnoteReference"/>
        </w:rPr>
        <w:footnoteRef/>
      </w:r>
      <w:r w:rsidRPr="00D60C22">
        <w:t xml:space="preserve"> Ibid., 2020. </w:t>
      </w:r>
    </w:p>
  </w:footnote>
  <w:footnote w:id="10">
    <w:p w14:paraId="0D39930F" w14:textId="77777777" w:rsidR="006E21C4" w:rsidRPr="00F22F17" w:rsidRDefault="006E21C4" w:rsidP="006E21C4">
      <w:pPr>
        <w:pStyle w:val="FootnoteText"/>
        <w:rPr>
          <w:sz w:val="18"/>
          <w:szCs w:val="18"/>
        </w:rPr>
      </w:pPr>
      <w:r w:rsidRPr="00D60C22">
        <w:rPr>
          <w:rStyle w:val="FootnoteReference"/>
        </w:rPr>
        <w:footnoteRef/>
      </w:r>
      <w:r w:rsidRPr="00D60C22">
        <w:t xml:space="preserve"> Department for Environment, Food and Rural Affairs, ‘Government Food Strategy’, 2022. </w:t>
      </w:r>
    </w:p>
  </w:footnote>
  <w:footnote w:id="11">
    <w:p w14:paraId="50C96BFB" w14:textId="77777777" w:rsidR="007B7ED8" w:rsidRPr="006E4C6D" w:rsidRDefault="007B7ED8" w:rsidP="007B7ED8">
      <w:pPr>
        <w:pStyle w:val="ListBullet"/>
        <w:numPr>
          <w:ilvl w:val="0"/>
          <w:numId w:val="0"/>
        </w:numPr>
        <w:rPr>
          <w:sz w:val="20"/>
          <w:szCs w:val="20"/>
        </w:rPr>
      </w:pPr>
      <w:r>
        <w:rPr>
          <w:rStyle w:val="FootnoteReference"/>
        </w:rPr>
        <w:footnoteRef/>
      </w:r>
      <w:r>
        <w:t xml:space="preserve"> </w:t>
      </w:r>
      <w:r w:rsidRPr="006E4C6D">
        <w:rPr>
          <w:sz w:val="20"/>
          <w:szCs w:val="20"/>
        </w:rPr>
        <w:t>Ward data throughout th</w:t>
      </w:r>
      <w:r>
        <w:rPr>
          <w:sz w:val="20"/>
          <w:szCs w:val="20"/>
        </w:rPr>
        <w:t>is review</w:t>
      </w:r>
      <w:r w:rsidRPr="006E4C6D">
        <w:rPr>
          <w:sz w:val="20"/>
          <w:szCs w:val="20"/>
        </w:rPr>
        <w:t xml:space="preserve"> may vary due to the adoption of the new </w:t>
      </w:r>
      <w:r>
        <w:rPr>
          <w:sz w:val="20"/>
          <w:szCs w:val="20"/>
        </w:rPr>
        <w:t>w</w:t>
      </w:r>
      <w:r w:rsidRPr="006E4C6D">
        <w:rPr>
          <w:sz w:val="20"/>
          <w:szCs w:val="20"/>
        </w:rPr>
        <w:t>ard boundaries in 2024 and availability of data.</w:t>
      </w:r>
    </w:p>
  </w:footnote>
  <w:footnote w:id="12">
    <w:p w14:paraId="0737B539" w14:textId="5CB3C386" w:rsidR="006717C5" w:rsidRDefault="006717C5">
      <w:pPr>
        <w:pStyle w:val="FootnoteText"/>
      </w:pPr>
      <w:r>
        <w:rPr>
          <w:rStyle w:val="FootnoteReference"/>
        </w:rPr>
        <w:footnoteRef/>
      </w:r>
      <w:r>
        <w:t xml:space="preserve"> Department of Health and Social Care, Fingertips, 2024. </w:t>
      </w:r>
    </w:p>
    <w:p w14:paraId="51AD5D23" w14:textId="77777777" w:rsidR="006717C5" w:rsidRDefault="006717C5">
      <w:pPr>
        <w:pStyle w:val="FootnoteText"/>
      </w:pPr>
    </w:p>
  </w:footnote>
  <w:footnote w:id="13">
    <w:p w14:paraId="35942BE0" w14:textId="6342A2F9" w:rsidR="007B6416" w:rsidRDefault="007B6416">
      <w:pPr>
        <w:pStyle w:val="FootnoteText"/>
      </w:pPr>
      <w:r>
        <w:rPr>
          <w:rStyle w:val="FootnoteReference"/>
        </w:rPr>
        <w:footnoteRef/>
      </w:r>
      <w:r>
        <w:t xml:space="preserve"> </w:t>
      </w:r>
      <w:r w:rsidR="007B3410">
        <w:t>NHS England, ‘</w:t>
      </w:r>
      <w:r>
        <w:t>The National Child Monitoring Programme</w:t>
      </w:r>
      <w:r w:rsidR="007B3410">
        <w:t>’</w:t>
      </w:r>
      <w:r>
        <w:t xml:space="preserve">, 2024. </w:t>
      </w:r>
    </w:p>
  </w:footnote>
  <w:footnote w:id="14">
    <w:p w14:paraId="0F423E8E" w14:textId="5803F29C" w:rsidR="00581735" w:rsidRPr="003141B1" w:rsidRDefault="00581735">
      <w:pPr>
        <w:pStyle w:val="FootnoteText"/>
        <w:rPr>
          <w:sz w:val="22"/>
          <w:szCs w:val="22"/>
        </w:rPr>
      </w:pPr>
      <w:r w:rsidRPr="00D60C22">
        <w:rPr>
          <w:rStyle w:val="FootnoteReference"/>
        </w:rPr>
        <w:footnoteRef/>
      </w:r>
      <w:r w:rsidRPr="00D60C22">
        <w:t xml:space="preserve"> </w:t>
      </w:r>
      <w:r w:rsidR="007B3410">
        <w:t>Ibid.</w:t>
      </w:r>
    </w:p>
  </w:footnote>
  <w:footnote w:id="15">
    <w:p w14:paraId="1A42369A" w14:textId="2D072FE9" w:rsidR="00DD0590" w:rsidRDefault="00DD0590">
      <w:pPr>
        <w:pStyle w:val="FootnoteText"/>
      </w:pPr>
      <w:r>
        <w:rPr>
          <w:rStyle w:val="FootnoteReference"/>
        </w:rPr>
        <w:footnoteRef/>
      </w:r>
      <w:r>
        <w:t xml:space="preserve"> </w:t>
      </w:r>
      <w:r w:rsidR="000C15C7">
        <w:t xml:space="preserve">The National Obesity Observatory. </w:t>
      </w:r>
    </w:p>
  </w:footnote>
  <w:footnote w:id="16">
    <w:p w14:paraId="39D47848" w14:textId="0B8A8B83" w:rsidR="00090314" w:rsidRDefault="00090314">
      <w:pPr>
        <w:pStyle w:val="FootnoteText"/>
      </w:pPr>
      <w:r>
        <w:rPr>
          <w:rStyle w:val="FootnoteReference"/>
        </w:rPr>
        <w:footnoteRef/>
      </w:r>
      <w:r>
        <w:t xml:space="preserve"> </w:t>
      </w:r>
      <w:r w:rsidR="00B27169">
        <w:t xml:space="preserve">Obesity and the environment, </w:t>
      </w:r>
      <w:r>
        <w:t>Public Health England,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B895F" w14:textId="7A54B0D3" w:rsidR="00D655DA" w:rsidRDefault="00D655DA" w:rsidP="00D655DA">
    <w:pPr>
      <w:pStyle w:val="Header"/>
      <w:ind w:left="360"/>
      <w:jc w:val="right"/>
    </w:pPr>
  </w:p>
  <w:p w14:paraId="3859AC5E" w14:textId="77777777" w:rsidR="00D655DA" w:rsidRDefault="00D655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12A5" w14:textId="3E2B29A0" w:rsidR="00597AEC" w:rsidRDefault="00597AEC" w:rsidP="00597AEC">
    <w:pPr>
      <w:pStyle w:val="Header"/>
      <w:jc w:val="right"/>
    </w:pPr>
    <w:r w:rsidRPr="00EC7462">
      <w:rPr>
        <w:noProof/>
      </w:rPr>
      <w:drawing>
        <wp:inline distT="0" distB="0" distL="0" distR="0" wp14:anchorId="18E8AE54" wp14:editId="31747FC5">
          <wp:extent cx="2402205" cy="1000125"/>
          <wp:effectExtent l="0" t="0" r="0" b="9525"/>
          <wp:docPr id="319450665" name="Picture 319450665" descr="A black and white picture of a person with 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icture of a person with 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205" cy="10001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2FDA1" w14:textId="36D30EAD" w:rsidR="009702BF" w:rsidRDefault="00000000" w:rsidP="00D655DA">
    <w:pPr>
      <w:pStyle w:val="Header"/>
      <w:ind w:left="360"/>
      <w:jc w:val="right"/>
    </w:pPr>
    <w:sdt>
      <w:sdtPr>
        <w:id w:val="-2004815164"/>
        <w:docPartObj>
          <w:docPartGallery w:val="Watermarks"/>
          <w:docPartUnique/>
        </w:docPartObj>
      </w:sdtPr>
      <w:sdtContent>
        <w:r>
          <w:rPr>
            <w:noProof/>
          </w:rPr>
          <w:pict w14:anchorId="499A6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1D8E43A" w14:textId="77777777" w:rsidR="009702BF" w:rsidRDefault="00970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20F73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8BFCDD9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DE2226"/>
    <w:multiLevelType w:val="hybridMultilevel"/>
    <w:tmpl w:val="D69E1006"/>
    <w:lvl w:ilvl="0" w:tplc="06AE8006">
      <w:start w:val="1"/>
      <w:numFmt w:val="decimal"/>
      <w:lvlText w:val="%1."/>
      <w:lvlJc w:val="left"/>
      <w:pPr>
        <w:ind w:left="432" w:hanging="360"/>
      </w:pPr>
      <w:rPr>
        <w:rFonts w:hint="default"/>
        <w:sz w:val="24"/>
        <w:szCs w:val="24"/>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3" w15:restartNumberingAfterBreak="0">
    <w:nsid w:val="148C668E"/>
    <w:multiLevelType w:val="hybridMultilevel"/>
    <w:tmpl w:val="1F4E401C"/>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4" w15:restartNumberingAfterBreak="0">
    <w:nsid w:val="16FE482A"/>
    <w:multiLevelType w:val="hybridMultilevel"/>
    <w:tmpl w:val="77FC8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87EC0"/>
    <w:multiLevelType w:val="hybridMultilevel"/>
    <w:tmpl w:val="2904CDB8"/>
    <w:lvl w:ilvl="0" w:tplc="FFFFFFFF">
      <w:start w:val="1"/>
      <w:numFmt w:val="decimal"/>
      <w:lvlText w:val="%1."/>
      <w:lvlJc w:val="left"/>
      <w:pPr>
        <w:ind w:left="432" w:hanging="360"/>
      </w:pPr>
      <w:rPr>
        <w:rFonts w:hint="default"/>
        <w:sz w:val="24"/>
        <w:szCs w:val="24"/>
      </w:rPr>
    </w:lvl>
    <w:lvl w:ilvl="1" w:tplc="FFFFFFFF" w:tentative="1">
      <w:start w:val="1"/>
      <w:numFmt w:val="lowerLetter"/>
      <w:lvlText w:val="%2."/>
      <w:lvlJc w:val="left"/>
      <w:pPr>
        <w:ind w:left="1152" w:hanging="360"/>
      </w:p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6" w15:restartNumberingAfterBreak="0">
    <w:nsid w:val="2C05783C"/>
    <w:multiLevelType w:val="hybridMultilevel"/>
    <w:tmpl w:val="C848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7E4987"/>
    <w:multiLevelType w:val="hybridMultilevel"/>
    <w:tmpl w:val="F90A8DA4"/>
    <w:lvl w:ilvl="0" w:tplc="26445E2A">
      <w:start w:val="3"/>
      <w:numFmt w:val="decimal"/>
      <w:lvlText w:val="%1."/>
      <w:lvlJc w:val="left"/>
      <w:pPr>
        <w:ind w:left="432" w:hanging="360"/>
      </w:pPr>
      <w:rPr>
        <w:rFonts w:hint="default"/>
        <w:sz w:val="24"/>
        <w:szCs w:val="24"/>
      </w:rPr>
    </w:lvl>
    <w:lvl w:ilvl="1" w:tplc="FFFFFFFF" w:tentative="1">
      <w:start w:val="1"/>
      <w:numFmt w:val="lowerLetter"/>
      <w:lvlText w:val="%2."/>
      <w:lvlJc w:val="left"/>
      <w:pPr>
        <w:ind w:left="1152" w:hanging="360"/>
      </w:p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8" w15:restartNumberingAfterBreak="0">
    <w:nsid w:val="57977EBA"/>
    <w:multiLevelType w:val="hybridMultilevel"/>
    <w:tmpl w:val="DAEC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C430AC"/>
    <w:multiLevelType w:val="hybridMultilevel"/>
    <w:tmpl w:val="0AA2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307ED8"/>
    <w:multiLevelType w:val="hybridMultilevel"/>
    <w:tmpl w:val="D69E1006"/>
    <w:lvl w:ilvl="0" w:tplc="FFFFFFFF">
      <w:start w:val="1"/>
      <w:numFmt w:val="decimal"/>
      <w:lvlText w:val="%1."/>
      <w:lvlJc w:val="left"/>
      <w:pPr>
        <w:ind w:left="432" w:hanging="360"/>
      </w:pPr>
      <w:rPr>
        <w:rFonts w:hint="default"/>
        <w:sz w:val="24"/>
        <w:szCs w:val="24"/>
      </w:rPr>
    </w:lvl>
    <w:lvl w:ilvl="1" w:tplc="FFFFFFFF" w:tentative="1">
      <w:start w:val="1"/>
      <w:numFmt w:val="lowerLetter"/>
      <w:lvlText w:val="%2."/>
      <w:lvlJc w:val="left"/>
      <w:pPr>
        <w:ind w:left="1152" w:hanging="360"/>
      </w:p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num w:numId="1" w16cid:durableId="252476242">
    <w:abstractNumId w:val="3"/>
  </w:num>
  <w:num w:numId="2" w16cid:durableId="2119988109">
    <w:abstractNumId w:val="1"/>
  </w:num>
  <w:num w:numId="3" w16cid:durableId="1942452249">
    <w:abstractNumId w:val="6"/>
  </w:num>
  <w:num w:numId="4" w16cid:durableId="220866705">
    <w:abstractNumId w:val="3"/>
  </w:num>
  <w:num w:numId="5" w16cid:durableId="1983922355">
    <w:abstractNumId w:val="8"/>
  </w:num>
  <w:num w:numId="6" w16cid:durableId="466243616">
    <w:abstractNumId w:val="4"/>
  </w:num>
  <w:num w:numId="7" w16cid:durableId="103890641">
    <w:abstractNumId w:val="2"/>
  </w:num>
  <w:num w:numId="8" w16cid:durableId="1997218329">
    <w:abstractNumId w:val="9"/>
  </w:num>
  <w:num w:numId="9" w16cid:durableId="30343955">
    <w:abstractNumId w:val="10"/>
  </w:num>
  <w:num w:numId="10" w16cid:durableId="1799184612">
    <w:abstractNumId w:val="0"/>
  </w:num>
  <w:num w:numId="11" w16cid:durableId="1891333964">
    <w:abstractNumId w:val="5"/>
  </w:num>
  <w:num w:numId="12" w16cid:durableId="19920533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712"/>
    <w:rsid w:val="0000492F"/>
    <w:rsid w:val="000059FA"/>
    <w:rsid w:val="0000679E"/>
    <w:rsid w:val="00006A9C"/>
    <w:rsid w:val="000077AB"/>
    <w:rsid w:val="00007C7E"/>
    <w:rsid w:val="00010AEB"/>
    <w:rsid w:val="000154F7"/>
    <w:rsid w:val="0002002D"/>
    <w:rsid w:val="00021844"/>
    <w:rsid w:val="000222AB"/>
    <w:rsid w:val="00024A19"/>
    <w:rsid w:val="00024EA8"/>
    <w:rsid w:val="0003171F"/>
    <w:rsid w:val="00033698"/>
    <w:rsid w:val="00033878"/>
    <w:rsid w:val="000377D5"/>
    <w:rsid w:val="00041CCE"/>
    <w:rsid w:val="00042D5B"/>
    <w:rsid w:val="00043FBC"/>
    <w:rsid w:val="00045CE8"/>
    <w:rsid w:val="00046C21"/>
    <w:rsid w:val="00050A0A"/>
    <w:rsid w:val="00053E45"/>
    <w:rsid w:val="00054068"/>
    <w:rsid w:val="00054A3F"/>
    <w:rsid w:val="00054D8B"/>
    <w:rsid w:val="00056B30"/>
    <w:rsid w:val="000602BB"/>
    <w:rsid w:val="00061972"/>
    <w:rsid w:val="00065951"/>
    <w:rsid w:val="00081945"/>
    <w:rsid w:val="000823CE"/>
    <w:rsid w:val="00082B75"/>
    <w:rsid w:val="000849A1"/>
    <w:rsid w:val="0008545E"/>
    <w:rsid w:val="000857C3"/>
    <w:rsid w:val="00086FA6"/>
    <w:rsid w:val="0008773B"/>
    <w:rsid w:val="000901D6"/>
    <w:rsid w:val="00090314"/>
    <w:rsid w:val="000928B4"/>
    <w:rsid w:val="00094D17"/>
    <w:rsid w:val="000978FD"/>
    <w:rsid w:val="000A1296"/>
    <w:rsid w:val="000A1744"/>
    <w:rsid w:val="000A35DD"/>
    <w:rsid w:val="000A3A1A"/>
    <w:rsid w:val="000A41DE"/>
    <w:rsid w:val="000B73BA"/>
    <w:rsid w:val="000C15C7"/>
    <w:rsid w:val="000C22AE"/>
    <w:rsid w:val="000C2DA5"/>
    <w:rsid w:val="000C386A"/>
    <w:rsid w:val="000C3A74"/>
    <w:rsid w:val="000C41C8"/>
    <w:rsid w:val="000C7668"/>
    <w:rsid w:val="000D2585"/>
    <w:rsid w:val="000D344F"/>
    <w:rsid w:val="000D36CF"/>
    <w:rsid w:val="000D376C"/>
    <w:rsid w:val="000D6424"/>
    <w:rsid w:val="000D7E41"/>
    <w:rsid w:val="000E187C"/>
    <w:rsid w:val="000E188C"/>
    <w:rsid w:val="000E24E3"/>
    <w:rsid w:val="000E4D11"/>
    <w:rsid w:val="000F19D8"/>
    <w:rsid w:val="000F2543"/>
    <w:rsid w:val="000F3345"/>
    <w:rsid w:val="000F4ACB"/>
    <w:rsid w:val="000F5E51"/>
    <w:rsid w:val="00104FF2"/>
    <w:rsid w:val="00105A7F"/>
    <w:rsid w:val="001061AE"/>
    <w:rsid w:val="0010674A"/>
    <w:rsid w:val="00107366"/>
    <w:rsid w:val="001077F9"/>
    <w:rsid w:val="00107EAC"/>
    <w:rsid w:val="00110D28"/>
    <w:rsid w:val="0011107C"/>
    <w:rsid w:val="00112EDC"/>
    <w:rsid w:val="0011305F"/>
    <w:rsid w:val="00113A59"/>
    <w:rsid w:val="00114278"/>
    <w:rsid w:val="00115F4C"/>
    <w:rsid w:val="00120ECE"/>
    <w:rsid w:val="00121135"/>
    <w:rsid w:val="00121265"/>
    <w:rsid w:val="001223C4"/>
    <w:rsid w:val="00122B5B"/>
    <w:rsid w:val="00124D49"/>
    <w:rsid w:val="00132D84"/>
    <w:rsid w:val="00134B91"/>
    <w:rsid w:val="001363D5"/>
    <w:rsid w:val="00136508"/>
    <w:rsid w:val="00140886"/>
    <w:rsid w:val="00140A8A"/>
    <w:rsid w:val="001435C0"/>
    <w:rsid w:val="001456B1"/>
    <w:rsid w:val="00146255"/>
    <w:rsid w:val="001463B0"/>
    <w:rsid w:val="00147524"/>
    <w:rsid w:val="00147EB7"/>
    <w:rsid w:val="00150A41"/>
    <w:rsid w:val="00150FD0"/>
    <w:rsid w:val="001533AC"/>
    <w:rsid w:val="00155B95"/>
    <w:rsid w:val="00157B13"/>
    <w:rsid w:val="00157CDB"/>
    <w:rsid w:val="0016187B"/>
    <w:rsid w:val="00164A04"/>
    <w:rsid w:val="001652E6"/>
    <w:rsid w:val="00170339"/>
    <w:rsid w:val="00170CEC"/>
    <w:rsid w:val="00174FE2"/>
    <w:rsid w:val="001769FD"/>
    <w:rsid w:val="00176EEF"/>
    <w:rsid w:val="001912B1"/>
    <w:rsid w:val="00192807"/>
    <w:rsid w:val="001A10E0"/>
    <w:rsid w:val="001A20C4"/>
    <w:rsid w:val="001A2298"/>
    <w:rsid w:val="001A3ABC"/>
    <w:rsid w:val="001A47B0"/>
    <w:rsid w:val="001A595C"/>
    <w:rsid w:val="001A5F63"/>
    <w:rsid w:val="001B0A75"/>
    <w:rsid w:val="001B1F2E"/>
    <w:rsid w:val="001B2405"/>
    <w:rsid w:val="001B2F83"/>
    <w:rsid w:val="001B503F"/>
    <w:rsid w:val="001C3AAE"/>
    <w:rsid w:val="001C507D"/>
    <w:rsid w:val="001D07F4"/>
    <w:rsid w:val="001D17A6"/>
    <w:rsid w:val="001D1BC7"/>
    <w:rsid w:val="001D2244"/>
    <w:rsid w:val="001D448D"/>
    <w:rsid w:val="001D4B79"/>
    <w:rsid w:val="001D557D"/>
    <w:rsid w:val="001D5AF0"/>
    <w:rsid w:val="001D6732"/>
    <w:rsid w:val="001E1D1A"/>
    <w:rsid w:val="001E286C"/>
    <w:rsid w:val="001E2949"/>
    <w:rsid w:val="001E2D75"/>
    <w:rsid w:val="001E3381"/>
    <w:rsid w:val="001E5F3F"/>
    <w:rsid w:val="001E6A86"/>
    <w:rsid w:val="001F0AA8"/>
    <w:rsid w:val="001F0C4B"/>
    <w:rsid w:val="001F4718"/>
    <w:rsid w:val="001F5178"/>
    <w:rsid w:val="001F6A98"/>
    <w:rsid w:val="002043F4"/>
    <w:rsid w:val="00204EC5"/>
    <w:rsid w:val="00204F23"/>
    <w:rsid w:val="00207632"/>
    <w:rsid w:val="0021016B"/>
    <w:rsid w:val="002119BE"/>
    <w:rsid w:val="00217BD2"/>
    <w:rsid w:val="002200D9"/>
    <w:rsid w:val="002204D1"/>
    <w:rsid w:val="002211DC"/>
    <w:rsid w:val="002250AC"/>
    <w:rsid w:val="00225271"/>
    <w:rsid w:val="002263E1"/>
    <w:rsid w:val="00230EC7"/>
    <w:rsid w:val="0023413A"/>
    <w:rsid w:val="002346D1"/>
    <w:rsid w:val="00235F7F"/>
    <w:rsid w:val="00236EF9"/>
    <w:rsid w:val="002410A3"/>
    <w:rsid w:val="00241953"/>
    <w:rsid w:val="00242D8D"/>
    <w:rsid w:val="0024342B"/>
    <w:rsid w:val="002440D9"/>
    <w:rsid w:val="00244596"/>
    <w:rsid w:val="0025203B"/>
    <w:rsid w:val="00254D1A"/>
    <w:rsid w:val="00257FC8"/>
    <w:rsid w:val="00261739"/>
    <w:rsid w:val="00263052"/>
    <w:rsid w:val="002656A1"/>
    <w:rsid w:val="00265A02"/>
    <w:rsid w:val="00274798"/>
    <w:rsid w:val="002749D4"/>
    <w:rsid w:val="002763D5"/>
    <w:rsid w:val="00276460"/>
    <w:rsid w:val="00276B98"/>
    <w:rsid w:val="002778AD"/>
    <w:rsid w:val="0028401B"/>
    <w:rsid w:val="002849ED"/>
    <w:rsid w:val="00284EC6"/>
    <w:rsid w:val="0028516E"/>
    <w:rsid w:val="00285550"/>
    <w:rsid w:val="00286DDA"/>
    <w:rsid w:val="002876FB"/>
    <w:rsid w:val="00287E72"/>
    <w:rsid w:val="002917D9"/>
    <w:rsid w:val="00292929"/>
    <w:rsid w:val="00292AD2"/>
    <w:rsid w:val="00294C69"/>
    <w:rsid w:val="002A013E"/>
    <w:rsid w:val="002A3A5F"/>
    <w:rsid w:val="002B05AE"/>
    <w:rsid w:val="002B5488"/>
    <w:rsid w:val="002C0145"/>
    <w:rsid w:val="002C0F5B"/>
    <w:rsid w:val="002C3BB0"/>
    <w:rsid w:val="002C3CE5"/>
    <w:rsid w:val="002C5691"/>
    <w:rsid w:val="002D45D3"/>
    <w:rsid w:val="002D5563"/>
    <w:rsid w:val="002D561B"/>
    <w:rsid w:val="002E1BC1"/>
    <w:rsid w:val="002E4369"/>
    <w:rsid w:val="002E53C4"/>
    <w:rsid w:val="002E5FBB"/>
    <w:rsid w:val="002E7498"/>
    <w:rsid w:val="002F0136"/>
    <w:rsid w:val="002F0615"/>
    <w:rsid w:val="002F0C93"/>
    <w:rsid w:val="00302F09"/>
    <w:rsid w:val="003034EB"/>
    <w:rsid w:val="00304086"/>
    <w:rsid w:val="003056E1"/>
    <w:rsid w:val="00305991"/>
    <w:rsid w:val="00306EE6"/>
    <w:rsid w:val="00307B03"/>
    <w:rsid w:val="00310889"/>
    <w:rsid w:val="00310AD0"/>
    <w:rsid w:val="00311BAA"/>
    <w:rsid w:val="00312DE2"/>
    <w:rsid w:val="003136C9"/>
    <w:rsid w:val="003141B1"/>
    <w:rsid w:val="00316461"/>
    <w:rsid w:val="0032096D"/>
    <w:rsid w:val="00325430"/>
    <w:rsid w:val="00325C65"/>
    <w:rsid w:val="003276B8"/>
    <w:rsid w:val="00330C00"/>
    <w:rsid w:val="003320B8"/>
    <w:rsid w:val="00332814"/>
    <w:rsid w:val="0033317D"/>
    <w:rsid w:val="00337430"/>
    <w:rsid w:val="00345123"/>
    <w:rsid w:val="003456E5"/>
    <w:rsid w:val="00351717"/>
    <w:rsid w:val="00352C1D"/>
    <w:rsid w:val="0035459C"/>
    <w:rsid w:val="0035773F"/>
    <w:rsid w:val="00357CB2"/>
    <w:rsid w:val="0036095E"/>
    <w:rsid w:val="00360EAC"/>
    <w:rsid w:val="003622DA"/>
    <w:rsid w:val="00364F19"/>
    <w:rsid w:val="00367EFA"/>
    <w:rsid w:val="00370941"/>
    <w:rsid w:val="00371A5D"/>
    <w:rsid w:val="00372763"/>
    <w:rsid w:val="0037307C"/>
    <w:rsid w:val="0037433A"/>
    <w:rsid w:val="003770EC"/>
    <w:rsid w:val="003778A6"/>
    <w:rsid w:val="00380A2C"/>
    <w:rsid w:val="00380D7C"/>
    <w:rsid w:val="00383927"/>
    <w:rsid w:val="00383BEE"/>
    <w:rsid w:val="00383E79"/>
    <w:rsid w:val="003849C3"/>
    <w:rsid w:val="00385B65"/>
    <w:rsid w:val="00390B7B"/>
    <w:rsid w:val="003A0778"/>
    <w:rsid w:val="003A0BCF"/>
    <w:rsid w:val="003A55C5"/>
    <w:rsid w:val="003A7AAC"/>
    <w:rsid w:val="003B0330"/>
    <w:rsid w:val="003B0F16"/>
    <w:rsid w:val="003B1195"/>
    <w:rsid w:val="003B537F"/>
    <w:rsid w:val="003B6DD9"/>
    <w:rsid w:val="003C1193"/>
    <w:rsid w:val="003C2BF8"/>
    <w:rsid w:val="003C697F"/>
    <w:rsid w:val="003D534D"/>
    <w:rsid w:val="003D5E07"/>
    <w:rsid w:val="003E0E17"/>
    <w:rsid w:val="003E28D4"/>
    <w:rsid w:val="003E2967"/>
    <w:rsid w:val="003E69F9"/>
    <w:rsid w:val="003E7652"/>
    <w:rsid w:val="003F1D0D"/>
    <w:rsid w:val="003F24F4"/>
    <w:rsid w:val="003F271C"/>
    <w:rsid w:val="003F2BCF"/>
    <w:rsid w:val="003F2E44"/>
    <w:rsid w:val="003F32C2"/>
    <w:rsid w:val="003F3C49"/>
    <w:rsid w:val="003F411E"/>
    <w:rsid w:val="003F4B24"/>
    <w:rsid w:val="00400816"/>
    <w:rsid w:val="004017E3"/>
    <w:rsid w:val="00401887"/>
    <w:rsid w:val="00402303"/>
    <w:rsid w:val="00404AAE"/>
    <w:rsid w:val="004054BA"/>
    <w:rsid w:val="00414B80"/>
    <w:rsid w:val="00417A4D"/>
    <w:rsid w:val="00420658"/>
    <w:rsid w:val="004208B6"/>
    <w:rsid w:val="00420921"/>
    <w:rsid w:val="00420EA4"/>
    <w:rsid w:val="004246E5"/>
    <w:rsid w:val="00424F32"/>
    <w:rsid w:val="004269F6"/>
    <w:rsid w:val="004330EB"/>
    <w:rsid w:val="00434D2E"/>
    <w:rsid w:val="00437019"/>
    <w:rsid w:val="0044071C"/>
    <w:rsid w:val="00442FE7"/>
    <w:rsid w:val="004449F9"/>
    <w:rsid w:val="00444D0F"/>
    <w:rsid w:val="004476AA"/>
    <w:rsid w:val="00453EED"/>
    <w:rsid w:val="0045475C"/>
    <w:rsid w:val="0045481F"/>
    <w:rsid w:val="00454D4C"/>
    <w:rsid w:val="00455303"/>
    <w:rsid w:val="0045656C"/>
    <w:rsid w:val="0045728B"/>
    <w:rsid w:val="00460FDE"/>
    <w:rsid w:val="00461E69"/>
    <w:rsid w:val="004638DB"/>
    <w:rsid w:val="00465CC4"/>
    <w:rsid w:val="00470954"/>
    <w:rsid w:val="00473C7B"/>
    <w:rsid w:val="00475A63"/>
    <w:rsid w:val="0047604B"/>
    <w:rsid w:val="004762EB"/>
    <w:rsid w:val="004769BA"/>
    <w:rsid w:val="00481597"/>
    <w:rsid w:val="004825D2"/>
    <w:rsid w:val="004833C3"/>
    <w:rsid w:val="004903FF"/>
    <w:rsid w:val="0049109D"/>
    <w:rsid w:val="00491CCB"/>
    <w:rsid w:val="00492A56"/>
    <w:rsid w:val="00492CE1"/>
    <w:rsid w:val="00493F5F"/>
    <w:rsid w:val="004943C9"/>
    <w:rsid w:val="00494EB2"/>
    <w:rsid w:val="004950CF"/>
    <w:rsid w:val="00497EA3"/>
    <w:rsid w:val="004A1057"/>
    <w:rsid w:val="004A5D1A"/>
    <w:rsid w:val="004A7B46"/>
    <w:rsid w:val="004B2C44"/>
    <w:rsid w:val="004B3192"/>
    <w:rsid w:val="004B37B7"/>
    <w:rsid w:val="004B5839"/>
    <w:rsid w:val="004B77F1"/>
    <w:rsid w:val="004C0DA0"/>
    <w:rsid w:val="004C13A5"/>
    <w:rsid w:val="004C5389"/>
    <w:rsid w:val="004C5966"/>
    <w:rsid w:val="004D155F"/>
    <w:rsid w:val="004D17FB"/>
    <w:rsid w:val="004D2CDC"/>
    <w:rsid w:val="004D54EE"/>
    <w:rsid w:val="004E0A06"/>
    <w:rsid w:val="004E0E32"/>
    <w:rsid w:val="004E198F"/>
    <w:rsid w:val="004E1F17"/>
    <w:rsid w:val="004E2636"/>
    <w:rsid w:val="004E3934"/>
    <w:rsid w:val="004E3DB9"/>
    <w:rsid w:val="004E4CE4"/>
    <w:rsid w:val="004E536A"/>
    <w:rsid w:val="004E6227"/>
    <w:rsid w:val="004E74B9"/>
    <w:rsid w:val="004F06EE"/>
    <w:rsid w:val="004F2513"/>
    <w:rsid w:val="004F2B57"/>
    <w:rsid w:val="004F4800"/>
    <w:rsid w:val="0050010B"/>
    <w:rsid w:val="00502B23"/>
    <w:rsid w:val="00504CA2"/>
    <w:rsid w:val="00505759"/>
    <w:rsid w:val="005068A4"/>
    <w:rsid w:val="00506D0E"/>
    <w:rsid w:val="005075A7"/>
    <w:rsid w:val="0050773F"/>
    <w:rsid w:val="00507BB9"/>
    <w:rsid w:val="0051085C"/>
    <w:rsid w:val="00511F49"/>
    <w:rsid w:val="005210EF"/>
    <w:rsid w:val="0052194D"/>
    <w:rsid w:val="005225EB"/>
    <w:rsid w:val="0052308F"/>
    <w:rsid w:val="005230E3"/>
    <w:rsid w:val="0052311D"/>
    <w:rsid w:val="005232FB"/>
    <w:rsid w:val="00524F95"/>
    <w:rsid w:val="00535388"/>
    <w:rsid w:val="00537CBC"/>
    <w:rsid w:val="005405EE"/>
    <w:rsid w:val="00541FE1"/>
    <w:rsid w:val="00544468"/>
    <w:rsid w:val="005459F5"/>
    <w:rsid w:val="00546506"/>
    <w:rsid w:val="0055535E"/>
    <w:rsid w:val="005629ED"/>
    <w:rsid w:val="00563BA7"/>
    <w:rsid w:val="0056578D"/>
    <w:rsid w:val="00566261"/>
    <w:rsid w:val="00567522"/>
    <w:rsid w:val="00571B2B"/>
    <w:rsid w:val="00571C77"/>
    <w:rsid w:val="00571EF3"/>
    <w:rsid w:val="00573D72"/>
    <w:rsid w:val="00574E1F"/>
    <w:rsid w:val="005773F5"/>
    <w:rsid w:val="0057783E"/>
    <w:rsid w:val="00581735"/>
    <w:rsid w:val="00581809"/>
    <w:rsid w:val="00582DDF"/>
    <w:rsid w:val="00583BB4"/>
    <w:rsid w:val="00583D0A"/>
    <w:rsid w:val="005857A4"/>
    <w:rsid w:val="005867DD"/>
    <w:rsid w:val="00587AE1"/>
    <w:rsid w:val="00587ED8"/>
    <w:rsid w:val="00590329"/>
    <w:rsid w:val="005911CD"/>
    <w:rsid w:val="00591A6F"/>
    <w:rsid w:val="00592F72"/>
    <w:rsid w:val="00595C95"/>
    <w:rsid w:val="00596A93"/>
    <w:rsid w:val="00597AEC"/>
    <w:rsid w:val="005A0B60"/>
    <w:rsid w:val="005A2CF2"/>
    <w:rsid w:val="005A3BD4"/>
    <w:rsid w:val="005A3C51"/>
    <w:rsid w:val="005A4069"/>
    <w:rsid w:val="005A4A46"/>
    <w:rsid w:val="005A58C0"/>
    <w:rsid w:val="005A74E1"/>
    <w:rsid w:val="005A76CC"/>
    <w:rsid w:val="005B399B"/>
    <w:rsid w:val="005B4775"/>
    <w:rsid w:val="005B5016"/>
    <w:rsid w:val="005B656F"/>
    <w:rsid w:val="005B771D"/>
    <w:rsid w:val="005C0226"/>
    <w:rsid w:val="005C0CE2"/>
    <w:rsid w:val="005C3B92"/>
    <w:rsid w:val="005C49F5"/>
    <w:rsid w:val="005C5F53"/>
    <w:rsid w:val="005C74F3"/>
    <w:rsid w:val="005D095E"/>
    <w:rsid w:val="005D179B"/>
    <w:rsid w:val="005D1CA9"/>
    <w:rsid w:val="005D4074"/>
    <w:rsid w:val="005D4543"/>
    <w:rsid w:val="005D6036"/>
    <w:rsid w:val="005D6416"/>
    <w:rsid w:val="005D7D49"/>
    <w:rsid w:val="005E1C19"/>
    <w:rsid w:val="005E2062"/>
    <w:rsid w:val="005E2711"/>
    <w:rsid w:val="005E3D62"/>
    <w:rsid w:val="005E47DD"/>
    <w:rsid w:val="005E67C9"/>
    <w:rsid w:val="005E7667"/>
    <w:rsid w:val="005F0659"/>
    <w:rsid w:val="005F2D50"/>
    <w:rsid w:val="005F360A"/>
    <w:rsid w:val="005F3E28"/>
    <w:rsid w:val="005F47BB"/>
    <w:rsid w:val="005F5A1C"/>
    <w:rsid w:val="0060131D"/>
    <w:rsid w:val="0060338B"/>
    <w:rsid w:val="0060388E"/>
    <w:rsid w:val="00604240"/>
    <w:rsid w:val="006049BC"/>
    <w:rsid w:val="00605855"/>
    <w:rsid w:val="00605C84"/>
    <w:rsid w:val="006125CD"/>
    <w:rsid w:val="006136EF"/>
    <w:rsid w:val="00616759"/>
    <w:rsid w:val="006212CC"/>
    <w:rsid w:val="006250E7"/>
    <w:rsid w:val="00625F6F"/>
    <w:rsid w:val="006261AB"/>
    <w:rsid w:val="00626628"/>
    <w:rsid w:val="006319B1"/>
    <w:rsid w:val="00632E58"/>
    <w:rsid w:val="00633198"/>
    <w:rsid w:val="00637798"/>
    <w:rsid w:val="00637B2E"/>
    <w:rsid w:val="00640B52"/>
    <w:rsid w:val="00642F0D"/>
    <w:rsid w:val="00646DCB"/>
    <w:rsid w:val="00647345"/>
    <w:rsid w:val="006502F5"/>
    <w:rsid w:val="00652167"/>
    <w:rsid w:val="00655073"/>
    <w:rsid w:val="00655660"/>
    <w:rsid w:val="006557E3"/>
    <w:rsid w:val="00656170"/>
    <w:rsid w:val="00656EBB"/>
    <w:rsid w:val="0065749B"/>
    <w:rsid w:val="006575C2"/>
    <w:rsid w:val="00660AE5"/>
    <w:rsid w:val="006717C5"/>
    <w:rsid w:val="00672E98"/>
    <w:rsid w:val="0067415E"/>
    <w:rsid w:val="00674CD6"/>
    <w:rsid w:val="006765DE"/>
    <w:rsid w:val="00683585"/>
    <w:rsid w:val="00683E52"/>
    <w:rsid w:val="0068663F"/>
    <w:rsid w:val="00686D23"/>
    <w:rsid w:val="00692AC7"/>
    <w:rsid w:val="006940FF"/>
    <w:rsid w:val="006A0693"/>
    <w:rsid w:val="006A23C1"/>
    <w:rsid w:val="006B593F"/>
    <w:rsid w:val="006B63C3"/>
    <w:rsid w:val="006C58CE"/>
    <w:rsid w:val="006C66F9"/>
    <w:rsid w:val="006C66FF"/>
    <w:rsid w:val="006C6AB8"/>
    <w:rsid w:val="006D2670"/>
    <w:rsid w:val="006D2A69"/>
    <w:rsid w:val="006D3FC9"/>
    <w:rsid w:val="006D4378"/>
    <w:rsid w:val="006D4809"/>
    <w:rsid w:val="006D7170"/>
    <w:rsid w:val="006E0FB9"/>
    <w:rsid w:val="006E190E"/>
    <w:rsid w:val="006E21C4"/>
    <w:rsid w:val="006E37CD"/>
    <w:rsid w:val="006E393F"/>
    <w:rsid w:val="006E4C6D"/>
    <w:rsid w:val="006E5BA4"/>
    <w:rsid w:val="006E6FA6"/>
    <w:rsid w:val="006F0A92"/>
    <w:rsid w:val="006F154B"/>
    <w:rsid w:val="006F33A2"/>
    <w:rsid w:val="006F44C5"/>
    <w:rsid w:val="006F5044"/>
    <w:rsid w:val="006F79F8"/>
    <w:rsid w:val="00700A96"/>
    <w:rsid w:val="0070167C"/>
    <w:rsid w:val="007018ED"/>
    <w:rsid w:val="007058B3"/>
    <w:rsid w:val="00705FB9"/>
    <w:rsid w:val="00706450"/>
    <w:rsid w:val="0070668D"/>
    <w:rsid w:val="007067F9"/>
    <w:rsid w:val="00706863"/>
    <w:rsid w:val="00706F9C"/>
    <w:rsid w:val="00711B1C"/>
    <w:rsid w:val="00717573"/>
    <w:rsid w:val="00721E47"/>
    <w:rsid w:val="007225D3"/>
    <w:rsid w:val="00723617"/>
    <w:rsid w:val="007260D0"/>
    <w:rsid w:val="00727989"/>
    <w:rsid w:val="007322AD"/>
    <w:rsid w:val="00740543"/>
    <w:rsid w:val="007408CF"/>
    <w:rsid w:val="00740D5B"/>
    <w:rsid w:val="00742D19"/>
    <w:rsid w:val="00745D7E"/>
    <w:rsid w:val="00745E5A"/>
    <w:rsid w:val="0075097F"/>
    <w:rsid w:val="00752820"/>
    <w:rsid w:val="00753FD8"/>
    <w:rsid w:val="0075500D"/>
    <w:rsid w:val="007552B9"/>
    <w:rsid w:val="00761531"/>
    <w:rsid w:val="00762C40"/>
    <w:rsid w:val="0076333F"/>
    <w:rsid w:val="007653CE"/>
    <w:rsid w:val="00766FBC"/>
    <w:rsid w:val="00770832"/>
    <w:rsid w:val="00771438"/>
    <w:rsid w:val="00772D21"/>
    <w:rsid w:val="00772EBC"/>
    <w:rsid w:val="0077371A"/>
    <w:rsid w:val="00773862"/>
    <w:rsid w:val="007747AD"/>
    <w:rsid w:val="00775EEA"/>
    <w:rsid w:val="00776037"/>
    <w:rsid w:val="00777CE5"/>
    <w:rsid w:val="00781CC1"/>
    <w:rsid w:val="00787338"/>
    <w:rsid w:val="0079059F"/>
    <w:rsid w:val="00790F52"/>
    <w:rsid w:val="0079186D"/>
    <w:rsid w:val="00792DAD"/>
    <w:rsid w:val="007A0E0E"/>
    <w:rsid w:val="007A1EC5"/>
    <w:rsid w:val="007A23FA"/>
    <w:rsid w:val="007A4C56"/>
    <w:rsid w:val="007B0080"/>
    <w:rsid w:val="007B0AD8"/>
    <w:rsid w:val="007B2DB9"/>
    <w:rsid w:val="007B3410"/>
    <w:rsid w:val="007B3E6F"/>
    <w:rsid w:val="007B51F9"/>
    <w:rsid w:val="007B6416"/>
    <w:rsid w:val="007B7898"/>
    <w:rsid w:val="007B7ED8"/>
    <w:rsid w:val="007C376E"/>
    <w:rsid w:val="007C4A68"/>
    <w:rsid w:val="007C4B9E"/>
    <w:rsid w:val="007C5614"/>
    <w:rsid w:val="007C78AA"/>
    <w:rsid w:val="007D0F0B"/>
    <w:rsid w:val="007D4730"/>
    <w:rsid w:val="007D4D3F"/>
    <w:rsid w:val="007E07CA"/>
    <w:rsid w:val="007E0FB6"/>
    <w:rsid w:val="007E29DE"/>
    <w:rsid w:val="007F2936"/>
    <w:rsid w:val="007F37EA"/>
    <w:rsid w:val="007F5935"/>
    <w:rsid w:val="007F59E3"/>
    <w:rsid w:val="007F725B"/>
    <w:rsid w:val="0080697B"/>
    <w:rsid w:val="00810EDB"/>
    <w:rsid w:val="00813CD0"/>
    <w:rsid w:val="00813FCF"/>
    <w:rsid w:val="00821467"/>
    <w:rsid w:val="00825346"/>
    <w:rsid w:val="008258E4"/>
    <w:rsid w:val="00825CC1"/>
    <w:rsid w:val="008272FD"/>
    <w:rsid w:val="00831832"/>
    <w:rsid w:val="008320C3"/>
    <w:rsid w:val="00833611"/>
    <w:rsid w:val="0083361D"/>
    <w:rsid w:val="00840D22"/>
    <w:rsid w:val="00842F83"/>
    <w:rsid w:val="00843009"/>
    <w:rsid w:val="00843F79"/>
    <w:rsid w:val="008443F3"/>
    <w:rsid w:val="00844B8A"/>
    <w:rsid w:val="00844F16"/>
    <w:rsid w:val="008469D8"/>
    <w:rsid w:val="0085097C"/>
    <w:rsid w:val="008512B4"/>
    <w:rsid w:val="008537C3"/>
    <w:rsid w:val="00853C1F"/>
    <w:rsid w:val="00856E02"/>
    <w:rsid w:val="0085773D"/>
    <w:rsid w:val="0086354A"/>
    <w:rsid w:val="00865C48"/>
    <w:rsid w:val="008665C4"/>
    <w:rsid w:val="00871663"/>
    <w:rsid w:val="00873E31"/>
    <w:rsid w:val="00876151"/>
    <w:rsid w:val="00877583"/>
    <w:rsid w:val="00881FDC"/>
    <w:rsid w:val="00882A3C"/>
    <w:rsid w:val="008831F3"/>
    <w:rsid w:val="0088338F"/>
    <w:rsid w:val="0088424D"/>
    <w:rsid w:val="00884B02"/>
    <w:rsid w:val="00885013"/>
    <w:rsid w:val="00891BC6"/>
    <w:rsid w:val="00894518"/>
    <w:rsid w:val="00896F69"/>
    <w:rsid w:val="008A0861"/>
    <w:rsid w:val="008A12AD"/>
    <w:rsid w:val="008A552C"/>
    <w:rsid w:val="008B2AE3"/>
    <w:rsid w:val="008B32F2"/>
    <w:rsid w:val="008B4295"/>
    <w:rsid w:val="008B5137"/>
    <w:rsid w:val="008B5C31"/>
    <w:rsid w:val="008B6B11"/>
    <w:rsid w:val="008C00C1"/>
    <w:rsid w:val="008C229D"/>
    <w:rsid w:val="008D278B"/>
    <w:rsid w:val="008D2BFD"/>
    <w:rsid w:val="008D4EC7"/>
    <w:rsid w:val="008D70BA"/>
    <w:rsid w:val="008D7873"/>
    <w:rsid w:val="008E03EF"/>
    <w:rsid w:val="008E2B84"/>
    <w:rsid w:val="008E4956"/>
    <w:rsid w:val="008E497D"/>
    <w:rsid w:val="008E4D08"/>
    <w:rsid w:val="008E55FA"/>
    <w:rsid w:val="008E68DD"/>
    <w:rsid w:val="008F0836"/>
    <w:rsid w:val="008F0A30"/>
    <w:rsid w:val="008F2AF3"/>
    <w:rsid w:val="008F44CF"/>
    <w:rsid w:val="008F56CD"/>
    <w:rsid w:val="008F5809"/>
    <w:rsid w:val="008F77CE"/>
    <w:rsid w:val="009005B8"/>
    <w:rsid w:val="0090146B"/>
    <w:rsid w:val="009024C1"/>
    <w:rsid w:val="009030A1"/>
    <w:rsid w:val="009030EF"/>
    <w:rsid w:val="00903740"/>
    <w:rsid w:val="009078E7"/>
    <w:rsid w:val="0091026F"/>
    <w:rsid w:val="0091123B"/>
    <w:rsid w:val="00911ED4"/>
    <w:rsid w:val="00913EB9"/>
    <w:rsid w:val="00914BBE"/>
    <w:rsid w:val="00915732"/>
    <w:rsid w:val="00916168"/>
    <w:rsid w:val="009165BE"/>
    <w:rsid w:val="00916771"/>
    <w:rsid w:val="00921008"/>
    <w:rsid w:val="00930034"/>
    <w:rsid w:val="00930DB0"/>
    <w:rsid w:val="0093200F"/>
    <w:rsid w:val="009330A2"/>
    <w:rsid w:val="00933517"/>
    <w:rsid w:val="00934415"/>
    <w:rsid w:val="00934E82"/>
    <w:rsid w:val="00935152"/>
    <w:rsid w:val="009413F9"/>
    <w:rsid w:val="00941FC7"/>
    <w:rsid w:val="0094233E"/>
    <w:rsid w:val="009428BB"/>
    <w:rsid w:val="00944C88"/>
    <w:rsid w:val="00944D9A"/>
    <w:rsid w:val="00945497"/>
    <w:rsid w:val="00947AC4"/>
    <w:rsid w:val="009502C3"/>
    <w:rsid w:val="00951867"/>
    <w:rsid w:val="0095369D"/>
    <w:rsid w:val="009574B3"/>
    <w:rsid w:val="009576D8"/>
    <w:rsid w:val="0096070F"/>
    <w:rsid w:val="0096759C"/>
    <w:rsid w:val="009702BF"/>
    <w:rsid w:val="0097477F"/>
    <w:rsid w:val="00974B69"/>
    <w:rsid w:val="00976E15"/>
    <w:rsid w:val="00977473"/>
    <w:rsid w:val="0098076B"/>
    <w:rsid w:val="00984919"/>
    <w:rsid w:val="0098712F"/>
    <w:rsid w:val="00991320"/>
    <w:rsid w:val="00991997"/>
    <w:rsid w:val="00992E80"/>
    <w:rsid w:val="009944C0"/>
    <w:rsid w:val="009951C4"/>
    <w:rsid w:val="0099552A"/>
    <w:rsid w:val="009956F3"/>
    <w:rsid w:val="0099592B"/>
    <w:rsid w:val="009A07E3"/>
    <w:rsid w:val="009A217F"/>
    <w:rsid w:val="009A2968"/>
    <w:rsid w:val="009A2B31"/>
    <w:rsid w:val="009A3014"/>
    <w:rsid w:val="009A3596"/>
    <w:rsid w:val="009A43BF"/>
    <w:rsid w:val="009A5304"/>
    <w:rsid w:val="009A62A6"/>
    <w:rsid w:val="009A7F39"/>
    <w:rsid w:val="009B02DA"/>
    <w:rsid w:val="009B22E0"/>
    <w:rsid w:val="009B251A"/>
    <w:rsid w:val="009B28BC"/>
    <w:rsid w:val="009B4339"/>
    <w:rsid w:val="009B56E6"/>
    <w:rsid w:val="009C01BE"/>
    <w:rsid w:val="009C09B9"/>
    <w:rsid w:val="009C3D66"/>
    <w:rsid w:val="009C64BD"/>
    <w:rsid w:val="009D0E6F"/>
    <w:rsid w:val="009D4234"/>
    <w:rsid w:val="009D44FE"/>
    <w:rsid w:val="009E1DA3"/>
    <w:rsid w:val="009E51D1"/>
    <w:rsid w:val="009E53DC"/>
    <w:rsid w:val="009E72A8"/>
    <w:rsid w:val="009F11E5"/>
    <w:rsid w:val="009F6D63"/>
    <w:rsid w:val="00A0125A"/>
    <w:rsid w:val="00A012F0"/>
    <w:rsid w:val="00A04E89"/>
    <w:rsid w:val="00A04FCA"/>
    <w:rsid w:val="00A12178"/>
    <w:rsid w:val="00A1763C"/>
    <w:rsid w:val="00A2237D"/>
    <w:rsid w:val="00A2361B"/>
    <w:rsid w:val="00A254F7"/>
    <w:rsid w:val="00A2734C"/>
    <w:rsid w:val="00A30B51"/>
    <w:rsid w:val="00A330E0"/>
    <w:rsid w:val="00A33F5A"/>
    <w:rsid w:val="00A414F5"/>
    <w:rsid w:val="00A50AE1"/>
    <w:rsid w:val="00A5118C"/>
    <w:rsid w:val="00A51318"/>
    <w:rsid w:val="00A51854"/>
    <w:rsid w:val="00A534D6"/>
    <w:rsid w:val="00A53FF3"/>
    <w:rsid w:val="00A54EE3"/>
    <w:rsid w:val="00A61B4B"/>
    <w:rsid w:val="00A623E8"/>
    <w:rsid w:val="00A630BC"/>
    <w:rsid w:val="00A64325"/>
    <w:rsid w:val="00A66221"/>
    <w:rsid w:val="00A71F4B"/>
    <w:rsid w:val="00A74A5C"/>
    <w:rsid w:val="00A75B99"/>
    <w:rsid w:val="00A8186D"/>
    <w:rsid w:val="00A81870"/>
    <w:rsid w:val="00A84BF3"/>
    <w:rsid w:val="00A95156"/>
    <w:rsid w:val="00A95A5B"/>
    <w:rsid w:val="00AA0D89"/>
    <w:rsid w:val="00AA1CA1"/>
    <w:rsid w:val="00AA3E8F"/>
    <w:rsid w:val="00AA6379"/>
    <w:rsid w:val="00AB055A"/>
    <w:rsid w:val="00AB2124"/>
    <w:rsid w:val="00AB2722"/>
    <w:rsid w:val="00AB29CB"/>
    <w:rsid w:val="00AB5492"/>
    <w:rsid w:val="00AB6BC4"/>
    <w:rsid w:val="00AC01B8"/>
    <w:rsid w:val="00AC1117"/>
    <w:rsid w:val="00AC4328"/>
    <w:rsid w:val="00AC7D05"/>
    <w:rsid w:val="00AD0D5E"/>
    <w:rsid w:val="00AD4848"/>
    <w:rsid w:val="00AE4047"/>
    <w:rsid w:val="00AE417C"/>
    <w:rsid w:val="00AE4444"/>
    <w:rsid w:val="00AE7885"/>
    <w:rsid w:val="00AF3308"/>
    <w:rsid w:val="00AF3616"/>
    <w:rsid w:val="00B04D65"/>
    <w:rsid w:val="00B05B24"/>
    <w:rsid w:val="00B05E96"/>
    <w:rsid w:val="00B0605D"/>
    <w:rsid w:val="00B06CB6"/>
    <w:rsid w:val="00B11EB2"/>
    <w:rsid w:val="00B13F6B"/>
    <w:rsid w:val="00B144EA"/>
    <w:rsid w:val="00B16C38"/>
    <w:rsid w:val="00B2219F"/>
    <w:rsid w:val="00B230C5"/>
    <w:rsid w:val="00B245F5"/>
    <w:rsid w:val="00B24BF0"/>
    <w:rsid w:val="00B256C4"/>
    <w:rsid w:val="00B257E9"/>
    <w:rsid w:val="00B264E7"/>
    <w:rsid w:val="00B26A67"/>
    <w:rsid w:val="00B27169"/>
    <w:rsid w:val="00B35524"/>
    <w:rsid w:val="00B4380D"/>
    <w:rsid w:val="00B43E62"/>
    <w:rsid w:val="00B4441F"/>
    <w:rsid w:val="00B44CFF"/>
    <w:rsid w:val="00B451F6"/>
    <w:rsid w:val="00B46582"/>
    <w:rsid w:val="00B46B39"/>
    <w:rsid w:val="00B5019A"/>
    <w:rsid w:val="00B5688D"/>
    <w:rsid w:val="00B57C85"/>
    <w:rsid w:val="00B57D3C"/>
    <w:rsid w:val="00B57F7F"/>
    <w:rsid w:val="00B60BCE"/>
    <w:rsid w:val="00B668E5"/>
    <w:rsid w:val="00B66FD7"/>
    <w:rsid w:val="00B70C59"/>
    <w:rsid w:val="00B74A25"/>
    <w:rsid w:val="00B76687"/>
    <w:rsid w:val="00B77FF7"/>
    <w:rsid w:val="00B85C83"/>
    <w:rsid w:val="00B91AD8"/>
    <w:rsid w:val="00B91F74"/>
    <w:rsid w:val="00B92BA6"/>
    <w:rsid w:val="00B93AFF"/>
    <w:rsid w:val="00B94949"/>
    <w:rsid w:val="00B965F1"/>
    <w:rsid w:val="00BA250D"/>
    <w:rsid w:val="00BA31F5"/>
    <w:rsid w:val="00BA32FD"/>
    <w:rsid w:val="00BA4D7E"/>
    <w:rsid w:val="00BB0950"/>
    <w:rsid w:val="00BB41CB"/>
    <w:rsid w:val="00BB4342"/>
    <w:rsid w:val="00BB457C"/>
    <w:rsid w:val="00BB48DE"/>
    <w:rsid w:val="00BB5376"/>
    <w:rsid w:val="00BB537A"/>
    <w:rsid w:val="00BB6AEF"/>
    <w:rsid w:val="00BC141A"/>
    <w:rsid w:val="00BC3108"/>
    <w:rsid w:val="00BC3597"/>
    <w:rsid w:val="00BC568B"/>
    <w:rsid w:val="00BC5E78"/>
    <w:rsid w:val="00BD14DC"/>
    <w:rsid w:val="00BD1E1E"/>
    <w:rsid w:val="00BD308A"/>
    <w:rsid w:val="00BD416A"/>
    <w:rsid w:val="00BD4573"/>
    <w:rsid w:val="00BD6584"/>
    <w:rsid w:val="00BE2431"/>
    <w:rsid w:val="00BF08DE"/>
    <w:rsid w:val="00BF0A34"/>
    <w:rsid w:val="00BF2090"/>
    <w:rsid w:val="00BF2B65"/>
    <w:rsid w:val="00BF57A3"/>
    <w:rsid w:val="00BF5FC0"/>
    <w:rsid w:val="00C017EA"/>
    <w:rsid w:val="00C05F8C"/>
    <w:rsid w:val="00C06986"/>
    <w:rsid w:val="00C0738E"/>
    <w:rsid w:val="00C07B0C"/>
    <w:rsid w:val="00C13E00"/>
    <w:rsid w:val="00C20587"/>
    <w:rsid w:val="00C2093B"/>
    <w:rsid w:val="00C2106F"/>
    <w:rsid w:val="00C25D79"/>
    <w:rsid w:val="00C26760"/>
    <w:rsid w:val="00C270A4"/>
    <w:rsid w:val="00C32713"/>
    <w:rsid w:val="00C33438"/>
    <w:rsid w:val="00C34ACF"/>
    <w:rsid w:val="00C37A42"/>
    <w:rsid w:val="00C37AC7"/>
    <w:rsid w:val="00C436E0"/>
    <w:rsid w:val="00C46C27"/>
    <w:rsid w:val="00C472A5"/>
    <w:rsid w:val="00C53126"/>
    <w:rsid w:val="00C55120"/>
    <w:rsid w:val="00C5657B"/>
    <w:rsid w:val="00C57709"/>
    <w:rsid w:val="00C6028F"/>
    <w:rsid w:val="00C63D98"/>
    <w:rsid w:val="00C65871"/>
    <w:rsid w:val="00C67FF8"/>
    <w:rsid w:val="00C7178E"/>
    <w:rsid w:val="00C73851"/>
    <w:rsid w:val="00C7632C"/>
    <w:rsid w:val="00C7748B"/>
    <w:rsid w:val="00C82957"/>
    <w:rsid w:val="00C82A04"/>
    <w:rsid w:val="00C83505"/>
    <w:rsid w:val="00C838FD"/>
    <w:rsid w:val="00C84473"/>
    <w:rsid w:val="00C84BC2"/>
    <w:rsid w:val="00C8514F"/>
    <w:rsid w:val="00C86E98"/>
    <w:rsid w:val="00C87E83"/>
    <w:rsid w:val="00C905D1"/>
    <w:rsid w:val="00C91546"/>
    <w:rsid w:val="00C935AD"/>
    <w:rsid w:val="00C93658"/>
    <w:rsid w:val="00C94185"/>
    <w:rsid w:val="00C94838"/>
    <w:rsid w:val="00C96942"/>
    <w:rsid w:val="00CA0F89"/>
    <w:rsid w:val="00CA1029"/>
    <w:rsid w:val="00CA5756"/>
    <w:rsid w:val="00CA5DEA"/>
    <w:rsid w:val="00CA7FA0"/>
    <w:rsid w:val="00CB5613"/>
    <w:rsid w:val="00CB6F7E"/>
    <w:rsid w:val="00CC1B60"/>
    <w:rsid w:val="00CC3A0B"/>
    <w:rsid w:val="00CC4D30"/>
    <w:rsid w:val="00CC62AC"/>
    <w:rsid w:val="00CC7EF7"/>
    <w:rsid w:val="00CC7F83"/>
    <w:rsid w:val="00CD233F"/>
    <w:rsid w:val="00CD2BB0"/>
    <w:rsid w:val="00CD3B4C"/>
    <w:rsid w:val="00CD5467"/>
    <w:rsid w:val="00CD6D27"/>
    <w:rsid w:val="00CF2BEC"/>
    <w:rsid w:val="00CF3A12"/>
    <w:rsid w:val="00CF4151"/>
    <w:rsid w:val="00CF4D03"/>
    <w:rsid w:val="00CF5C9A"/>
    <w:rsid w:val="00CF6A76"/>
    <w:rsid w:val="00CF7B39"/>
    <w:rsid w:val="00D028B0"/>
    <w:rsid w:val="00D02E7A"/>
    <w:rsid w:val="00D0346C"/>
    <w:rsid w:val="00D0526F"/>
    <w:rsid w:val="00D0764B"/>
    <w:rsid w:val="00D11E50"/>
    <w:rsid w:val="00D12526"/>
    <w:rsid w:val="00D13AB5"/>
    <w:rsid w:val="00D15ED0"/>
    <w:rsid w:val="00D16917"/>
    <w:rsid w:val="00D22569"/>
    <w:rsid w:val="00D2261C"/>
    <w:rsid w:val="00D24C68"/>
    <w:rsid w:val="00D26F34"/>
    <w:rsid w:val="00D3471D"/>
    <w:rsid w:val="00D34A27"/>
    <w:rsid w:val="00D36880"/>
    <w:rsid w:val="00D40D88"/>
    <w:rsid w:val="00D42714"/>
    <w:rsid w:val="00D44D7F"/>
    <w:rsid w:val="00D4517D"/>
    <w:rsid w:val="00D51F6D"/>
    <w:rsid w:val="00D568DB"/>
    <w:rsid w:val="00D579CE"/>
    <w:rsid w:val="00D57B8A"/>
    <w:rsid w:val="00D60C22"/>
    <w:rsid w:val="00D61DC4"/>
    <w:rsid w:val="00D62874"/>
    <w:rsid w:val="00D655DA"/>
    <w:rsid w:val="00D72144"/>
    <w:rsid w:val="00D7530B"/>
    <w:rsid w:val="00D75904"/>
    <w:rsid w:val="00D76D65"/>
    <w:rsid w:val="00D76E0F"/>
    <w:rsid w:val="00D82C1B"/>
    <w:rsid w:val="00D95686"/>
    <w:rsid w:val="00DA1B25"/>
    <w:rsid w:val="00DA21EA"/>
    <w:rsid w:val="00DA7503"/>
    <w:rsid w:val="00DB0C31"/>
    <w:rsid w:val="00DB6018"/>
    <w:rsid w:val="00DB75EA"/>
    <w:rsid w:val="00DC57DA"/>
    <w:rsid w:val="00DD0590"/>
    <w:rsid w:val="00DD2D99"/>
    <w:rsid w:val="00DD3382"/>
    <w:rsid w:val="00DE0DF2"/>
    <w:rsid w:val="00DE2614"/>
    <w:rsid w:val="00DE4F82"/>
    <w:rsid w:val="00DE7C3D"/>
    <w:rsid w:val="00DF3434"/>
    <w:rsid w:val="00DF5D01"/>
    <w:rsid w:val="00DF7C25"/>
    <w:rsid w:val="00E0739E"/>
    <w:rsid w:val="00E10059"/>
    <w:rsid w:val="00E10797"/>
    <w:rsid w:val="00E11FE3"/>
    <w:rsid w:val="00E13046"/>
    <w:rsid w:val="00E13078"/>
    <w:rsid w:val="00E133BF"/>
    <w:rsid w:val="00E14305"/>
    <w:rsid w:val="00E21789"/>
    <w:rsid w:val="00E21B4A"/>
    <w:rsid w:val="00E22492"/>
    <w:rsid w:val="00E26A26"/>
    <w:rsid w:val="00E26F8A"/>
    <w:rsid w:val="00E27B68"/>
    <w:rsid w:val="00E33213"/>
    <w:rsid w:val="00E33E67"/>
    <w:rsid w:val="00E371DA"/>
    <w:rsid w:val="00E373AC"/>
    <w:rsid w:val="00E4296B"/>
    <w:rsid w:val="00E447F1"/>
    <w:rsid w:val="00E50B39"/>
    <w:rsid w:val="00E51A48"/>
    <w:rsid w:val="00E51A4A"/>
    <w:rsid w:val="00E53109"/>
    <w:rsid w:val="00E56D70"/>
    <w:rsid w:val="00E61F10"/>
    <w:rsid w:val="00E64D15"/>
    <w:rsid w:val="00E64FB3"/>
    <w:rsid w:val="00E74AF2"/>
    <w:rsid w:val="00E761F5"/>
    <w:rsid w:val="00E80264"/>
    <w:rsid w:val="00E8063D"/>
    <w:rsid w:val="00E837A6"/>
    <w:rsid w:val="00E87C07"/>
    <w:rsid w:val="00E9157B"/>
    <w:rsid w:val="00E91DD2"/>
    <w:rsid w:val="00E93363"/>
    <w:rsid w:val="00E934BC"/>
    <w:rsid w:val="00E95A5B"/>
    <w:rsid w:val="00E96718"/>
    <w:rsid w:val="00E976AF"/>
    <w:rsid w:val="00EA3F25"/>
    <w:rsid w:val="00EA444F"/>
    <w:rsid w:val="00EB3401"/>
    <w:rsid w:val="00EB48BB"/>
    <w:rsid w:val="00EB5433"/>
    <w:rsid w:val="00EB60A2"/>
    <w:rsid w:val="00EB726D"/>
    <w:rsid w:val="00EC2DE5"/>
    <w:rsid w:val="00EC4FC7"/>
    <w:rsid w:val="00EC5054"/>
    <w:rsid w:val="00EC5FA4"/>
    <w:rsid w:val="00EC6B6F"/>
    <w:rsid w:val="00EC6F63"/>
    <w:rsid w:val="00ED11EF"/>
    <w:rsid w:val="00ED46BE"/>
    <w:rsid w:val="00ED57BA"/>
    <w:rsid w:val="00EE11D0"/>
    <w:rsid w:val="00EE1E6B"/>
    <w:rsid w:val="00EE2065"/>
    <w:rsid w:val="00EE6C51"/>
    <w:rsid w:val="00EF091E"/>
    <w:rsid w:val="00EF2814"/>
    <w:rsid w:val="00EF52E6"/>
    <w:rsid w:val="00EF5DA7"/>
    <w:rsid w:val="00EF7E12"/>
    <w:rsid w:val="00F00644"/>
    <w:rsid w:val="00F0228E"/>
    <w:rsid w:val="00F03CB7"/>
    <w:rsid w:val="00F04CC9"/>
    <w:rsid w:val="00F06FD9"/>
    <w:rsid w:val="00F10D3C"/>
    <w:rsid w:val="00F11B8A"/>
    <w:rsid w:val="00F1239E"/>
    <w:rsid w:val="00F13771"/>
    <w:rsid w:val="00F13AD6"/>
    <w:rsid w:val="00F13F06"/>
    <w:rsid w:val="00F205BD"/>
    <w:rsid w:val="00F22C31"/>
    <w:rsid w:val="00F22F17"/>
    <w:rsid w:val="00F23A11"/>
    <w:rsid w:val="00F23C39"/>
    <w:rsid w:val="00F247E4"/>
    <w:rsid w:val="00F27539"/>
    <w:rsid w:val="00F33B39"/>
    <w:rsid w:val="00F34712"/>
    <w:rsid w:val="00F40826"/>
    <w:rsid w:val="00F4139B"/>
    <w:rsid w:val="00F41783"/>
    <w:rsid w:val="00F4274D"/>
    <w:rsid w:val="00F4555C"/>
    <w:rsid w:val="00F45C17"/>
    <w:rsid w:val="00F532DC"/>
    <w:rsid w:val="00F5335B"/>
    <w:rsid w:val="00F543AD"/>
    <w:rsid w:val="00F604FD"/>
    <w:rsid w:val="00F64141"/>
    <w:rsid w:val="00F6559E"/>
    <w:rsid w:val="00F67F4A"/>
    <w:rsid w:val="00F70241"/>
    <w:rsid w:val="00F70959"/>
    <w:rsid w:val="00F70E74"/>
    <w:rsid w:val="00F73990"/>
    <w:rsid w:val="00F74305"/>
    <w:rsid w:val="00F7550B"/>
    <w:rsid w:val="00F773A7"/>
    <w:rsid w:val="00F83F70"/>
    <w:rsid w:val="00F85F5E"/>
    <w:rsid w:val="00F87645"/>
    <w:rsid w:val="00F87AC9"/>
    <w:rsid w:val="00F87D4F"/>
    <w:rsid w:val="00F87E4C"/>
    <w:rsid w:val="00F912CA"/>
    <w:rsid w:val="00F9431C"/>
    <w:rsid w:val="00F94592"/>
    <w:rsid w:val="00F95409"/>
    <w:rsid w:val="00F96420"/>
    <w:rsid w:val="00F96EB2"/>
    <w:rsid w:val="00FA0409"/>
    <w:rsid w:val="00FA1BF4"/>
    <w:rsid w:val="00FA3F34"/>
    <w:rsid w:val="00FA5415"/>
    <w:rsid w:val="00FA6739"/>
    <w:rsid w:val="00FA7EE3"/>
    <w:rsid w:val="00FB0329"/>
    <w:rsid w:val="00FB4B97"/>
    <w:rsid w:val="00FB7182"/>
    <w:rsid w:val="00FB71B8"/>
    <w:rsid w:val="00FC02B4"/>
    <w:rsid w:val="00FC294D"/>
    <w:rsid w:val="00FC2DC1"/>
    <w:rsid w:val="00FC3871"/>
    <w:rsid w:val="00FC5882"/>
    <w:rsid w:val="00FC65E3"/>
    <w:rsid w:val="00FC7347"/>
    <w:rsid w:val="00FD67C9"/>
    <w:rsid w:val="00FD6A7D"/>
    <w:rsid w:val="00FD796F"/>
    <w:rsid w:val="00FE04FF"/>
    <w:rsid w:val="00FE3F19"/>
    <w:rsid w:val="00FE4206"/>
    <w:rsid w:val="00FE4A7B"/>
    <w:rsid w:val="00FF0480"/>
    <w:rsid w:val="00FF15C5"/>
    <w:rsid w:val="00FF2C75"/>
    <w:rsid w:val="00FF34DD"/>
    <w:rsid w:val="00FF4FE2"/>
    <w:rsid w:val="00FF7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77041"/>
  <w15:chartTrackingRefBased/>
  <w15:docId w15:val="{D35DA80E-8703-4BBE-AD0D-883A4FC73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Theme="minorHAnsi" w:hAnsi="Poppins"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7C3"/>
    <w:pPr>
      <w:spacing w:line="276" w:lineRule="auto"/>
    </w:pPr>
    <w:rPr>
      <w:sz w:val="24"/>
    </w:rPr>
  </w:style>
  <w:style w:type="paragraph" w:styleId="Heading1">
    <w:name w:val="heading 1"/>
    <w:basedOn w:val="Normal"/>
    <w:next w:val="Normal"/>
    <w:link w:val="Heading1Char"/>
    <w:uiPriority w:val="9"/>
    <w:qFormat/>
    <w:rsid w:val="00F347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53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8D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2E1B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4712"/>
    <w:pPr>
      <w:spacing w:after="0" w:line="240" w:lineRule="auto"/>
    </w:pPr>
  </w:style>
  <w:style w:type="character" w:customStyle="1" w:styleId="Heading1Char">
    <w:name w:val="Heading 1 Char"/>
    <w:basedOn w:val="DefaultParagraphFont"/>
    <w:link w:val="Heading1"/>
    <w:uiPriority w:val="9"/>
    <w:rsid w:val="00F3471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34712"/>
    <w:pPr>
      <w:spacing w:after="0" w:line="240" w:lineRule="auto"/>
      <w:ind w:left="720"/>
    </w:pPr>
    <w:rPr>
      <w:rFonts w:ascii="Calibri" w:hAnsi="Calibri" w:cs="Calibri"/>
      <w:kern w:val="0"/>
    </w:rPr>
  </w:style>
  <w:style w:type="character" w:customStyle="1" w:styleId="Heading2Char">
    <w:name w:val="Heading 2 Char"/>
    <w:basedOn w:val="DefaultParagraphFont"/>
    <w:link w:val="Heading2"/>
    <w:uiPriority w:val="9"/>
    <w:rsid w:val="009E53D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655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5DA"/>
  </w:style>
  <w:style w:type="paragraph" w:styleId="Footer">
    <w:name w:val="footer"/>
    <w:basedOn w:val="Normal"/>
    <w:link w:val="FooterChar"/>
    <w:uiPriority w:val="99"/>
    <w:unhideWhenUsed/>
    <w:rsid w:val="00D655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5DA"/>
  </w:style>
  <w:style w:type="paragraph" w:styleId="ListBullet">
    <w:name w:val="List Bullet"/>
    <w:basedOn w:val="Normal"/>
    <w:uiPriority w:val="99"/>
    <w:unhideWhenUsed/>
    <w:rsid w:val="00991320"/>
    <w:pPr>
      <w:numPr>
        <w:numId w:val="2"/>
      </w:numPr>
      <w:contextualSpacing/>
    </w:pPr>
  </w:style>
  <w:style w:type="paragraph" w:styleId="FootnoteText">
    <w:name w:val="footnote text"/>
    <w:basedOn w:val="Normal"/>
    <w:link w:val="FootnoteTextChar"/>
    <w:uiPriority w:val="99"/>
    <w:semiHidden/>
    <w:unhideWhenUsed/>
    <w:rsid w:val="00BD41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416A"/>
    <w:rPr>
      <w:sz w:val="20"/>
      <w:szCs w:val="20"/>
    </w:rPr>
  </w:style>
  <w:style w:type="character" w:styleId="FootnoteReference">
    <w:name w:val="footnote reference"/>
    <w:basedOn w:val="DefaultParagraphFont"/>
    <w:uiPriority w:val="99"/>
    <w:semiHidden/>
    <w:unhideWhenUsed/>
    <w:rsid w:val="00BD416A"/>
    <w:rPr>
      <w:vertAlign w:val="superscript"/>
    </w:rPr>
  </w:style>
  <w:style w:type="character" w:styleId="Hyperlink">
    <w:name w:val="Hyperlink"/>
    <w:basedOn w:val="DefaultParagraphFont"/>
    <w:uiPriority w:val="99"/>
    <w:unhideWhenUsed/>
    <w:rsid w:val="00351717"/>
    <w:rPr>
      <w:color w:val="0563C1" w:themeColor="hyperlink"/>
      <w:u w:val="single"/>
    </w:rPr>
  </w:style>
  <w:style w:type="character" w:styleId="UnresolvedMention">
    <w:name w:val="Unresolved Mention"/>
    <w:basedOn w:val="DefaultParagraphFont"/>
    <w:uiPriority w:val="99"/>
    <w:semiHidden/>
    <w:unhideWhenUsed/>
    <w:rsid w:val="00351717"/>
    <w:rPr>
      <w:color w:val="605E5C"/>
      <w:shd w:val="clear" w:color="auto" w:fill="E1DFDD"/>
    </w:rPr>
  </w:style>
  <w:style w:type="paragraph" w:styleId="Revision">
    <w:name w:val="Revision"/>
    <w:hidden/>
    <w:uiPriority w:val="99"/>
    <w:semiHidden/>
    <w:rsid w:val="006D4809"/>
    <w:pPr>
      <w:spacing w:after="0" w:line="240" w:lineRule="auto"/>
    </w:pPr>
  </w:style>
  <w:style w:type="character" w:customStyle="1" w:styleId="Heading3Char">
    <w:name w:val="Heading 3 Char"/>
    <w:basedOn w:val="DefaultParagraphFont"/>
    <w:link w:val="Heading3"/>
    <w:uiPriority w:val="9"/>
    <w:rsid w:val="00D568DB"/>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27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E1BC1"/>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4E3934"/>
    <w:pPr>
      <w:tabs>
        <w:tab w:val="right" w:leader="dot" w:pos="9016"/>
      </w:tabs>
      <w:spacing w:after="100"/>
    </w:pPr>
    <w:rPr>
      <w:b/>
      <w:bCs/>
      <w:noProof/>
      <w:sz w:val="28"/>
      <w:szCs w:val="28"/>
    </w:rPr>
  </w:style>
  <w:style w:type="paragraph" w:styleId="TOC2">
    <w:name w:val="toc 2"/>
    <w:basedOn w:val="Normal"/>
    <w:next w:val="Normal"/>
    <w:autoRedefine/>
    <w:uiPriority w:val="39"/>
    <w:unhideWhenUsed/>
    <w:rsid w:val="00881FDC"/>
    <w:pPr>
      <w:spacing w:after="100"/>
      <w:ind w:left="220"/>
    </w:pPr>
  </w:style>
  <w:style w:type="paragraph" w:styleId="TOC3">
    <w:name w:val="toc 3"/>
    <w:basedOn w:val="Normal"/>
    <w:next w:val="Normal"/>
    <w:autoRedefine/>
    <w:uiPriority w:val="39"/>
    <w:unhideWhenUsed/>
    <w:rsid w:val="009024C1"/>
    <w:pPr>
      <w:tabs>
        <w:tab w:val="right" w:leader="dot" w:pos="9016"/>
      </w:tabs>
      <w:spacing w:after="100"/>
      <w:ind w:left="720"/>
    </w:pPr>
  </w:style>
  <w:style w:type="character" w:styleId="CommentReference">
    <w:name w:val="annotation reference"/>
    <w:basedOn w:val="DefaultParagraphFont"/>
    <w:uiPriority w:val="99"/>
    <w:semiHidden/>
    <w:unhideWhenUsed/>
    <w:rsid w:val="0090146B"/>
    <w:rPr>
      <w:sz w:val="16"/>
      <w:szCs w:val="16"/>
    </w:rPr>
  </w:style>
  <w:style w:type="paragraph" w:styleId="CommentText">
    <w:name w:val="annotation text"/>
    <w:basedOn w:val="Normal"/>
    <w:link w:val="CommentTextChar"/>
    <w:uiPriority w:val="99"/>
    <w:unhideWhenUsed/>
    <w:rsid w:val="0090146B"/>
    <w:pPr>
      <w:spacing w:line="240" w:lineRule="auto"/>
    </w:pPr>
    <w:rPr>
      <w:sz w:val="20"/>
      <w:szCs w:val="20"/>
    </w:rPr>
  </w:style>
  <w:style w:type="character" w:customStyle="1" w:styleId="CommentTextChar">
    <w:name w:val="Comment Text Char"/>
    <w:basedOn w:val="DefaultParagraphFont"/>
    <w:link w:val="CommentText"/>
    <w:uiPriority w:val="99"/>
    <w:rsid w:val="0090146B"/>
    <w:rPr>
      <w:sz w:val="20"/>
      <w:szCs w:val="20"/>
    </w:rPr>
  </w:style>
  <w:style w:type="paragraph" w:styleId="CommentSubject">
    <w:name w:val="annotation subject"/>
    <w:basedOn w:val="CommentText"/>
    <w:next w:val="CommentText"/>
    <w:link w:val="CommentSubjectChar"/>
    <w:uiPriority w:val="99"/>
    <w:semiHidden/>
    <w:unhideWhenUsed/>
    <w:rsid w:val="0090146B"/>
    <w:rPr>
      <w:b/>
      <w:bCs/>
    </w:rPr>
  </w:style>
  <w:style w:type="character" w:customStyle="1" w:styleId="CommentSubjectChar">
    <w:name w:val="Comment Subject Char"/>
    <w:basedOn w:val="CommentTextChar"/>
    <w:link w:val="CommentSubject"/>
    <w:uiPriority w:val="99"/>
    <w:semiHidden/>
    <w:rsid w:val="009014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47125">
      <w:bodyDiv w:val="1"/>
      <w:marLeft w:val="0"/>
      <w:marRight w:val="0"/>
      <w:marTop w:val="0"/>
      <w:marBottom w:val="0"/>
      <w:divBdr>
        <w:top w:val="none" w:sz="0" w:space="0" w:color="auto"/>
        <w:left w:val="none" w:sz="0" w:space="0" w:color="auto"/>
        <w:bottom w:val="none" w:sz="0" w:space="0" w:color="auto"/>
        <w:right w:val="none" w:sz="0" w:space="0" w:color="auto"/>
      </w:divBdr>
    </w:div>
    <w:div w:id="1142650105">
      <w:bodyDiv w:val="1"/>
      <w:marLeft w:val="0"/>
      <w:marRight w:val="0"/>
      <w:marTop w:val="0"/>
      <w:marBottom w:val="0"/>
      <w:divBdr>
        <w:top w:val="none" w:sz="0" w:space="0" w:color="auto"/>
        <w:left w:val="none" w:sz="0" w:space="0" w:color="auto"/>
        <w:bottom w:val="none" w:sz="0" w:space="0" w:color="auto"/>
        <w:right w:val="none" w:sz="0" w:space="0" w:color="auto"/>
      </w:divBdr>
    </w:div>
    <w:div w:id="121080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northtyneside-my.sharepoint.com/personal/whar9237_northtyneside_gov_uk/Documents/Policy/Health%20and%20Wellbeing/CVD%20Tren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HAR9237\Downloads\indicators-ElectoralWards.data%20(1).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tcdata\dev$\Environment\Planning\Local%20Development%20Framework\Evidence%20Base%20&amp;%20Data\Health\TO%20BE%20RETAINED\CHD%20hospital%20admissions%20per%20ward%202016-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tcdata\dev$\Environment\Planning\Local%20Development%20Framework\Evidence%20Base%20&amp;%20Data\Health\TO%20BE%20RETAINED\Obesity%20Profile%20Year%20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orthtyneside-my.sharepoint.com/personal/whar9237_northtyneside_gov_uk/Documents/Policy/Health%20and%20Wellbeing/NCMP%20Ward%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orthtyneside-my.sharepoint.com/personal/whar9237_northtyneside_gov_uk/Documents/Policy/Health%20and%20Wellbeing/NCMP%20Ward%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b="1">
                <a:latin typeface="Poppins" panose="00000500000000000000" pitchFamily="2" charset="0"/>
                <a:cs typeface="Poppins" panose="00000500000000000000" pitchFamily="2" charset="0"/>
              </a:rPr>
              <a:t>Mortality</a:t>
            </a:r>
            <a:r>
              <a:rPr lang="en-GB" sz="1050" b="1" baseline="0">
                <a:latin typeface="Poppins" panose="00000500000000000000" pitchFamily="2" charset="0"/>
                <a:cs typeface="Poppins" panose="00000500000000000000" pitchFamily="2" charset="0"/>
              </a:rPr>
              <a:t> Rate from All Circulatory Diseases of Persons Under the Age of 75 Years in North Tyneside (Directly standarised rate - per 100,000 persons) </a:t>
            </a:r>
            <a:endParaRPr lang="en-GB" sz="1050" b="1">
              <a:latin typeface="Poppins" panose="00000500000000000000" pitchFamily="2" charset="0"/>
              <a:cs typeface="Poppins" panose="00000500000000000000"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'[CVD Trends.xlsx]Sheet1'!$B$1</c:f>
              <c:strCache>
                <c:ptCount val="1"/>
                <c:pt idx="0">
                  <c:v>England</c:v>
                </c:pt>
              </c:strCache>
            </c:strRef>
          </c:tx>
          <c:spPr>
            <a:ln w="28575" cap="rnd">
              <a:solidFill>
                <a:schemeClr val="accent1"/>
              </a:solidFill>
              <a:round/>
            </a:ln>
            <a:effectLst/>
          </c:spPr>
          <c:marker>
            <c:symbol val="none"/>
          </c:marker>
          <c:cat>
            <c:numRef>
              <c:f>'[CVD Trends.xlsx]Sheet1'!$A$2:$A$23</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'[CVD Trends.xlsx]Sheet1'!$B$2:$B$23</c:f>
              <c:numCache>
                <c:formatCode>General</c:formatCode>
                <c:ptCount val="22"/>
                <c:pt idx="0">
                  <c:v>145.16319999999999</c:v>
                </c:pt>
                <c:pt idx="1">
                  <c:v>137.91290000000001</c:v>
                </c:pt>
                <c:pt idx="2">
                  <c:v>130.92590000000001</c:v>
                </c:pt>
                <c:pt idx="3">
                  <c:v>119.9135</c:v>
                </c:pt>
                <c:pt idx="4">
                  <c:v>111.9995</c:v>
                </c:pt>
                <c:pt idx="5">
                  <c:v>104.9563</c:v>
                </c:pt>
                <c:pt idx="6">
                  <c:v>98.577200000000005</c:v>
                </c:pt>
                <c:pt idx="7">
                  <c:v>93.729900000000001</c:v>
                </c:pt>
                <c:pt idx="8">
                  <c:v>87.130099999999999</c:v>
                </c:pt>
                <c:pt idx="9">
                  <c:v>84.997900000000001</c:v>
                </c:pt>
                <c:pt idx="10">
                  <c:v>80.099699999999999</c:v>
                </c:pt>
                <c:pt idx="11">
                  <c:v>77.320899999999995</c:v>
                </c:pt>
                <c:pt idx="12">
                  <c:v>76.221400000000003</c:v>
                </c:pt>
                <c:pt idx="13">
                  <c:v>73.837000000000003</c:v>
                </c:pt>
                <c:pt idx="14">
                  <c:v>74.173100000000005</c:v>
                </c:pt>
                <c:pt idx="15">
                  <c:v>72.849100000000007</c:v>
                </c:pt>
                <c:pt idx="16">
                  <c:v>71.119</c:v>
                </c:pt>
                <c:pt idx="17">
                  <c:v>71.845100000000002</c:v>
                </c:pt>
                <c:pt idx="18">
                  <c:v>69.138300000000001</c:v>
                </c:pt>
                <c:pt idx="19">
                  <c:v>74.207700000000003</c:v>
                </c:pt>
                <c:pt idx="20">
                  <c:v>76.005899999999997</c:v>
                </c:pt>
                <c:pt idx="21">
                  <c:v>77.766599999999997</c:v>
                </c:pt>
              </c:numCache>
            </c:numRef>
          </c:val>
          <c:smooth val="0"/>
          <c:extLst>
            <c:ext xmlns:c16="http://schemas.microsoft.com/office/drawing/2014/chart" uri="{C3380CC4-5D6E-409C-BE32-E72D297353CC}">
              <c16:uniqueId val="{00000000-BC19-467C-99EF-27B50F3AC120}"/>
            </c:ext>
          </c:extLst>
        </c:ser>
        <c:ser>
          <c:idx val="1"/>
          <c:order val="1"/>
          <c:tx>
            <c:strRef>
              <c:f>'[CVD Trends.xlsx]Sheet1'!$C$1</c:f>
              <c:strCache>
                <c:ptCount val="1"/>
                <c:pt idx="0">
                  <c:v>North East</c:v>
                </c:pt>
              </c:strCache>
            </c:strRef>
          </c:tx>
          <c:spPr>
            <a:ln w="28575" cap="rnd">
              <a:solidFill>
                <a:schemeClr val="accent3"/>
              </a:solidFill>
              <a:round/>
            </a:ln>
            <a:effectLst/>
          </c:spPr>
          <c:marker>
            <c:symbol val="none"/>
          </c:marker>
          <c:cat>
            <c:numRef>
              <c:f>'[CVD Trends.xlsx]Sheet1'!$A$2:$A$23</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'[CVD Trends.xlsx]Sheet1'!$C$2:$C$23</c:f>
              <c:numCache>
                <c:formatCode>General</c:formatCode>
                <c:ptCount val="22"/>
                <c:pt idx="0">
                  <c:v>172.81780000000001</c:v>
                </c:pt>
                <c:pt idx="1">
                  <c:v>164.63290000000001</c:v>
                </c:pt>
                <c:pt idx="2">
                  <c:v>159.88489999999999</c:v>
                </c:pt>
                <c:pt idx="3">
                  <c:v>145.27279999999999</c:v>
                </c:pt>
                <c:pt idx="4">
                  <c:v>131.00239999999999</c:v>
                </c:pt>
                <c:pt idx="5">
                  <c:v>123.5718</c:v>
                </c:pt>
                <c:pt idx="6">
                  <c:v>116.4928</c:v>
                </c:pt>
                <c:pt idx="7">
                  <c:v>106.46120000000001</c:v>
                </c:pt>
                <c:pt idx="8">
                  <c:v>97.868399999999994</c:v>
                </c:pt>
                <c:pt idx="9">
                  <c:v>93.144800000000004</c:v>
                </c:pt>
                <c:pt idx="10">
                  <c:v>94.006900000000002</c:v>
                </c:pt>
                <c:pt idx="11">
                  <c:v>88.7209</c:v>
                </c:pt>
                <c:pt idx="12">
                  <c:v>82.823099999999997</c:v>
                </c:pt>
                <c:pt idx="13">
                  <c:v>86.358500000000006</c:v>
                </c:pt>
                <c:pt idx="14">
                  <c:v>86.084100000000007</c:v>
                </c:pt>
                <c:pt idx="15">
                  <c:v>83.172799999999995</c:v>
                </c:pt>
                <c:pt idx="16">
                  <c:v>79.8566</c:v>
                </c:pt>
                <c:pt idx="17">
                  <c:v>85.720399999999998</c:v>
                </c:pt>
                <c:pt idx="18">
                  <c:v>80.783799999999999</c:v>
                </c:pt>
                <c:pt idx="19">
                  <c:v>83.954400000000007</c:v>
                </c:pt>
                <c:pt idx="20">
                  <c:v>84.483599999999996</c:v>
                </c:pt>
                <c:pt idx="21">
                  <c:v>90.819699999999997</c:v>
                </c:pt>
              </c:numCache>
            </c:numRef>
          </c:val>
          <c:smooth val="0"/>
          <c:extLst>
            <c:ext xmlns:c16="http://schemas.microsoft.com/office/drawing/2014/chart" uri="{C3380CC4-5D6E-409C-BE32-E72D297353CC}">
              <c16:uniqueId val="{00000001-BC19-467C-99EF-27B50F3AC120}"/>
            </c:ext>
          </c:extLst>
        </c:ser>
        <c:ser>
          <c:idx val="2"/>
          <c:order val="2"/>
          <c:tx>
            <c:strRef>
              <c:f>'[CVD Trends.xlsx]Sheet1'!$D$1</c:f>
              <c:strCache>
                <c:ptCount val="1"/>
                <c:pt idx="0">
                  <c:v>North Tyneside</c:v>
                </c:pt>
              </c:strCache>
            </c:strRef>
          </c:tx>
          <c:spPr>
            <a:ln w="28575" cap="rnd">
              <a:solidFill>
                <a:schemeClr val="accent5"/>
              </a:solidFill>
              <a:round/>
            </a:ln>
            <a:effectLst/>
          </c:spPr>
          <c:marker>
            <c:symbol val="none"/>
          </c:marker>
          <c:cat>
            <c:numRef>
              <c:f>'[CVD Trends.xlsx]Sheet1'!$A$2:$A$23</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'[CVD Trends.xlsx]Sheet1'!$D$2:$D$23</c:f>
              <c:numCache>
                <c:formatCode>General</c:formatCode>
                <c:ptCount val="22"/>
                <c:pt idx="0">
                  <c:v>143.09639999999999</c:v>
                </c:pt>
                <c:pt idx="1">
                  <c:v>151.89400000000001</c:v>
                </c:pt>
                <c:pt idx="2">
                  <c:v>135.42779999999999</c:v>
                </c:pt>
                <c:pt idx="3">
                  <c:v>139.3664</c:v>
                </c:pt>
                <c:pt idx="4">
                  <c:v>109.8312</c:v>
                </c:pt>
                <c:pt idx="5">
                  <c:v>119.3741</c:v>
                </c:pt>
                <c:pt idx="6">
                  <c:v>123.6191</c:v>
                </c:pt>
                <c:pt idx="7">
                  <c:v>106.6292</c:v>
                </c:pt>
                <c:pt idx="8">
                  <c:v>89.066999999999993</c:v>
                </c:pt>
                <c:pt idx="9">
                  <c:v>99.995000000000005</c:v>
                </c:pt>
                <c:pt idx="10">
                  <c:v>89.731899999999996</c:v>
                </c:pt>
                <c:pt idx="11">
                  <c:v>80.281400000000005</c:v>
                </c:pt>
                <c:pt idx="12">
                  <c:v>79.713300000000004</c:v>
                </c:pt>
                <c:pt idx="13">
                  <c:v>82.957400000000007</c:v>
                </c:pt>
                <c:pt idx="14">
                  <c:v>89.463800000000006</c:v>
                </c:pt>
                <c:pt idx="15">
                  <c:v>76.860600000000005</c:v>
                </c:pt>
                <c:pt idx="16">
                  <c:v>80.485600000000005</c:v>
                </c:pt>
                <c:pt idx="17">
                  <c:v>82.743300000000005</c:v>
                </c:pt>
                <c:pt idx="18">
                  <c:v>70.938900000000004</c:v>
                </c:pt>
                <c:pt idx="19">
                  <c:v>90.635000000000005</c:v>
                </c:pt>
                <c:pt idx="20">
                  <c:v>77.023399999999995</c:v>
                </c:pt>
                <c:pt idx="21">
                  <c:v>87.664900000000003</c:v>
                </c:pt>
              </c:numCache>
            </c:numRef>
          </c:val>
          <c:smooth val="0"/>
          <c:extLst>
            <c:ext xmlns:c16="http://schemas.microsoft.com/office/drawing/2014/chart" uri="{C3380CC4-5D6E-409C-BE32-E72D297353CC}">
              <c16:uniqueId val="{00000002-BC19-467C-99EF-27B50F3AC120}"/>
            </c:ext>
          </c:extLst>
        </c:ser>
        <c:dLbls>
          <c:showLegendKey val="0"/>
          <c:showVal val="0"/>
          <c:showCatName val="0"/>
          <c:showSerName val="0"/>
          <c:showPercent val="0"/>
          <c:showBubbleSize val="0"/>
        </c:dLbls>
        <c:smooth val="0"/>
        <c:axId val="1266975983"/>
        <c:axId val="1266976943"/>
      </c:lineChart>
      <c:catAx>
        <c:axId val="1266975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266976943"/>
        <c:crosses val="autoZero"/>
        <c:auto val="1"/>
        <c:lblAlgn val="ctr"/>
        <c:lblOffset val="100"/>
        <c:noMultiLvlLbl val="0"/>
      </c:catAx>
      <c:valAx>
        <c:axId val="1266976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266975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a:latin typeface="Poppins" panose="00000500000000000000" pitchFamily="2" charset="0"/>
                <a:cs typeface="Poppins" panose="00000500000000000000" pitchFamily="2" charset="0"/>
              </a:rPr>
              <a:t>CVD</a:t>
            </a:r>
            <a:r>
              <a:rPr lang="en-GB" sz="1000" b="1" baseline="0">
                <a:latin typeface="Poppins" panose="00000500000000000000" pitchFamily="2" charset="0"/>
                <a:cs typeface="Poppins" panose="00000500000000000000" pitchFamily="2" charset="0"/>
              </a:rPr>
              <a:t> Mortality, Under 75 Years, North Tyneside per Wards (2016 - 2020) (Inderictly standardised ratio per 100,000 persons)</a:t>
            </a:r>
            <a:endParaRPr lang="en-GB" sz="1000" b="1">
              <a:latin typeface="Poppins" panose="00000500000000000000" pitchFamily="2" charset="0"/>
              <a:cs typeface="Poppins" panose="00000500000000000000" pitchFamily="2" charset="0"/>
            </a:endParaRPr>
          </a:p>
        </c:rich>
      </c:tx>
      <c:layout>
        <c:manualLayout>
          <c:xMode val="edge"/>
          <c:yMode val="edge"/>
          <c:x val="0.13835555555555556"/>
          <c:y val="2.12652844231791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9478-4FEE-948F-686CB152F4C5}"/>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9478-4FEE-948F-686CB152F4C5}"/>
              </c:ext>
            </c:extLst>
          </c:dPt>
          <c:cat>
            <c:strRef>
              <c:f>'[CVD mortality under 75 per ward 2016-2020.xlsx]Sheet1'!$E$1:$E$22</c:f>
              <c:strCache>
                <c:ptCount val="22"/>
                <c:pt idx="0">
                  <c:v>England</c:v>
                </c:pt>
                <c:pt idx="1">
                  <c:v>North Tyneside</c:v>
                </c:pt>
                <c:pt idx="2">
                  <c:v>Monkseaton North</c:v>
                </c:pt>
                <c:pt idx="3">
                  <c:v>St Mary's</c:v>
                </c:pt>
                <c:pt idx="4">
                  <c:v>Battle Hill</c:v>
                </c:pt>
                <c:pt idx="5">
                  <c:v>Killingworth</c:v>
                </c:pt>
                <c:pt idx="6">
                  <c:v>Camperdown</c:v>
                </c:pt>
                <c:pt idx="7">
                  <c:v>Cullercoats</c:v>
                </c:pt>
                <c:pt idx="8">
                  <c:v>Preston</c:v>
                </c:pt>
                <c:pt idx="9">
                  <c:v>Weetslade</c:v>
                </c:pt>
                <c:pt idx="10">
                  <c:v>Monkseaton South</c:v>
                </c:pt>
                <c:pt idx="11">
                  <c:v>Benton</c:v>
                </c:pt>
                <c:pt idx="12">
                  <c:v>Collingwood</c:v>
                </c:pt>
                <c:pt idx="13">
                  <c:v>Whitley Bay</c:v>
                </c:pt>
                <c:pt idx="14">
                  <c:v>Valley</c:v>
                </c:pt>
                <c:pt idx="15">
                  <c:v>Northumberland</c:v>
                </c:pt>
                <c:pt idx="16">
                  <c:v>Tynemouth</c:v>
                </c:pt>
                <c:pt idx="17">
                  <c:v>Longbenton</c:v>
                </c:pt>
                <c:pt idx="18">
                  <c:v>Wallsend</c:v>
                </c:pt>
                <c:pt idx="19">
                  <c:v>Howdon</c:v>
                </c:pt>
                <c:pt idx="20">
                  <c:v>Riverside</c:v>
                </c:pt>
                <c:pt idx="21">
                  <c:v>Chirton</c:v>
                </c:pt>
              </c:strCache>
            </c:strRef>
          </c:cat>
          <c:val>
            <c:numRef>
              <c:f>'[CVD mortality under 75 per ward 2016-2020.xlsx]Sheet1'!$F$1:$F$22</c:f>
              <c:numCache>
                <c:formatCode>General</c:formatCode>
                <c:ptCount val="22"/>
                <c:pt idx="0">
                  <c:v>100</c:v>
                </c:pt>
                <c:pt idx="1">
                  <c:v>112.09778559999999</c:v>
                </c:pt>
                <c:pt idx="2">
                  <c:v>43.323927910000002</c:v>
                </c:pt>
                <c:pt idx="3">
                  <c:v>48.391261399999998</c:v>
                </c:pt>
                <c:pt idx="4">
                  <c:v>71.715612730000004</c:v>
                </c:pt>
                <c:pt idx="5">
                  <c:v>76.705833209999994</c:v>
                </c:pt>
                <c:pt idx="6">
                  <c:v>90.839250359999994</c:v>
                </c:pt>
                <c:pt idx="7">
                  <c:v>92.555069090000003</c:v>
                </c:pt>
                <c:pt idx="8">
                  <c:v>98.352484259999997</c:v>
                </c:pt>
                <c:pt idx="9">
                  <c:v>102.947716</c:v>
                </c:pt>
                <c:pt idx="10">
                  <c:v>110.54224360000001</c:v>
                </c:pt>
                <c:pt idx="11">
                  <c:v>114.3364083</c:v>
                </c:pt>
                <c:pt idx="12">
                  <c:v>116.7961808</c:v>
                </c:pt>
                <c:pt idx="13">
                  <c:v>117.73717329999999</c:v>
                </c:pt>
                <c:pt idx="14">
                  <c:v>119.94412199999999</c:v>
                </c:pt>
                <c:pt idx="15">
                  <c:v>121.2261096</c:v>
                </c:pt>
                <c:pt idx="16">
                  <c:v>130.30341899999999</c:v>
                </c:pt>
                <c:pt idx="17">
                  <c:v>138.7284477</c:v>
                </c:pt>
                <c:pt idx="18">
                  <c:v>144.95299790000001</c:v>
                </c:pt>
                <c:pt idx="19">
                  <c:v>157.04324260000001</c:v>
                </c:pt>
                <c:pt idx="20">
                  <c:v>183.26784190000001</c:v>
                </c:pt>
                <c:pt idx="21">
                  <c:v>184.52701450000001</c:v>
                </c:pt>
              </c:numCache>
            </c:numRef>
          </c:val>
          <c:extLst>
            <c:ext xmlns:c16="http://schemas.microsoft.com/office/drawing/2014/chart" uri="{C3380CC4-5D6E-409C-BE32-E72D297353CC}">
              <c16:uniqueId val="{00000004-9478-4FEE-948F-686CB152F4C5}"/>
            </c:ext>
          </c:extLst>
        </c:ser>
        <c:dLbls>
          <c:showLegendKey val="0"/>
          <c:showVal val="0"/>
          <c:showCatName val="0"/>
          <c:showSerName val="0"/>
          <c:showPercent val="0"/>
          <c:showBubbleSize val="0"/>
        </c:dLbls>
        <c:gapWidth val="219"/>
        <c:overlap val="-27"/>
        <c:axId val="539522880"/>
        <c:axId val="539523360"/>
      </c:barChart>
      <c:catAx>
        <c:axId val="5395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539523360"/>
        <c:crosses val="autoZero"/>
        <c:auto val="1"/>
        <c:lblAlgn val="ctr"/>
        <c:lblOffset val="100"/>
        <c:noMultiLvlLbl val="0"/>
      </c:catAx>
      <c:valAx>
        <c:axId val="53952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53952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i="0" u="none" strike="noStrike" kern="1200" spc="0" baseline="0">
                <a:solidFill>
                  <a:sysClr val="windowText" lastClr="000000">
                    <a:lumMod val="65000"/>
                    <a:lumOff val="35000"/>
                  </a:sysClr>
                </a:solidFill>
                <a:latin typeface="Poppins" panose="00000500000000000000" pitchFamily="2" charset="0"/>
                <a:cs typeface="Poppins" panose="00000500000000000000" pitchFamily="2" charset="0"/>
              </a:rPr>
              <a:t>Emergency Hospital Admissions for CHD by North Tyneside Ward</a:t>
            </a:r>
          </a:p>
          <a:p>
            <a:pPr>
              <a:defRPr/>
            </a:pPr>
            <a:r>
              <a:rPr lang="en-GB" sz="1000" b="1" i="0" u="none" strike="noStrike" kern="1200" spc="0" baseline="0">
                <a:solidFill>
                  <a:sysClr val="windowText" lastClr="000000">
                    <a:lumMod val="65000"/>
                    <a:lumOff val="35000"/>
                  </a:sysClr>
                </a:solidFill>
                <a:latin typeface="Poppins" panose="00000500000000000000" pitchFamily="2" charset="0"/>
                <a:cs typeface="Poppins" panose="00000500000000000000" pitchFamily="2" charset="0"/>
              </a:rPr>
              <a:t>(Indirectly standardised admision ratios 2016/2017 - 2020/2021)</a:t>
            </a:r>
          </a:p>
          <a:p>
            <a:pPr>
              <a:defRPr/>
            </a:pP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A5FF-4C00-A67C-BC979E2758C7}"/>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A5FF-4C00-A67C-BC979E2758C7}"/>
              </c:ext>
            </c:extLst>
          </c:dPt>
          <c:cat>
            <c:strRef>
              <c:f>Sheet1!$D$1:$D$22</c:f>
              <c:strCache>
                <c:ptCount val="22"/>
                <c:pt idx="0">
                  <c:v>England</c:v>
                </c:pt>
                <c:pt idx="1">
                  <c:v>North Tyneside</c:v>
                </c:pt>
                <c:pt idx="2">
                  <c:v>Weetslade</c:v>
                </c:pt>
                <c:pt idx="3">
                  <c:v>Preston</c:v>
                </c:pt>
                <c:pt idx="4">
                  <c:v>Tynemouth</c:v>
                </c:pt>
                <c:pt idx="5">
                  <c:v>Monkseaton North</c:v>
                </c:pt>
                <c:pt idx="6">
                  <c:v>Northumberland</c:v>
                </c:pt>
                <c:pt idx="7">
                  <c:v>St Mary's</c:v>
                </c:pt>
                <c:pt idx="8">
                  <c:v>Longbenton</c:v>
                </c:pt>
                <c:pt idx="9">
                  <c:v>Benton</c:v>
                </c:pt>
                <c:pt idx="10">
                  <c:v>Killingworth</c:v>
                </c:pt>
                <c:pt idx="11">
                  <c:v>Collingwood</c:v>
                </c:pt>
                <c:pt idx="12">
                  <c:v>Monkseaton South</c:v>
                </c:pt>
                <c:pt idx="13">
                  <c:v>Whitley Bay</c:v>
                </c:pt>
                <c:pt idx="14">
                  <c:v>Valley</c:v>
                </c:pt>
                <c:pt idx="15">
                  <c:v>Battle Hill</c:v>
                </c:pt>
                <c:pt idx="16">
                  <c:v>Cullercoats</c:v>
                </c:pt>
                <c:pt idx="17">
                  <c:v>Camperdown</c:v>
                </c:pt>
                <c:pt idx="18">
                  <c:v>Riverside</c:v>
                </c:pt>
                <c:pt idx="19">
                  <c:v>Wallsend</c:v>
                </c:pt>
                <c:pt idx="20">
                  <c:v>Howdon</c:v>
                </c:pt>
                <c:pt idx="21">
                  <c:v>Chirton</c:v>
                </c:pt>
              </c:strCache>
            </c:strRef>
          </c:cat>
          <c:val>
            <c:numRef>
              <c:f>Sheet1!$E$1:$E$22</c:f>
              <c:numCache>
                <c:formatCode>General</c:formatCode>
                <c:ptCount val="22"/>
                <c:pt idx="0">
                  <c:v>100</c:v>
                </c:pt>
                <c:pt idx="1">
                  <c:v>126.493157</c:v>
                </c:pt>
                <c:pt idx="2">
                  <c:v>80.959000000000003</c:v>
                </c:pt>
                <c:pt idx="3">
                  <c:v>93.406499999999994</c:v>
                </c:pt>
                <c:pt idx="4">
                  <c:v>104.3729</c:v>
                </c:pt>
                <c:pt idx="5">
                  <c:v>104.9076</c:v>
                </c:pt>
                <c:pt idx="6">
                  <c:v>109.6296</c:v>
                </c:pt>
                <c:pt idx="7">
                  <c:v>111.4928</c:v>
                </c:pt>
                <c:pt idx="8">
                  <c:v>121.8888</c:v>
                </c:pt>
                <c:pt idx="9">
                  <c:v>125.10980000000001</c:v>
                </c:pt>
                <c:pt idx="10">
                  <c:v>125.29989999999999</c:v>
                </c:pt>
                <c:pt idx="11">
                  <c:v>126.50660000000001</c:v>
                </c:pt>
                <c:pt idx="12">
                  <c:v>129.3614</c:v>
                </c:pt>
                <c:pt idx="13">
                  <c:v>130.57769999999999</c:v>
                </c:pt>
                <c:pt idx="14">
                  <c:v>131.04859999999999</c:v>
                </c:pt>
                <c:pt idx="15">
                  <c:v>132.5223</c:v>
                </c:pt>
                <c:pt idx="16">
                  <c:v>135.2045</c:v>
                </c:pt>
                <c:pt idx="17">
                  <c:v>144.68780000000001</c:v>
                </c:pt>
                <c:pt idx="18">
                  <c:v>153.345</c:v>
                </c:pt>
                <c:pt idx="19">
                  <c:v>155.90620000000001</c:v>
                </c:pt>
                <c:pt idx="20">
                  <c:v>158.4308</c:v>
                </c:pt>
                <c:pt idx="21">
                  <c:v>178.92519999999999</c:v>
                </c:pt>
              </c:numCache>
            </c:numRef>
          </c:val>
          <c:extLst>
            <c:ext xmlns:c16="http://schemas.microsoft.com/office/drawing/2014/chart" uri="{C3380CC4-5D6E-409C-BE32-E72D297353CC}">
              <c16:uniqueId val="{00000004-A5FF-4C00-A67C-BC979E2758C7}"/>
            </c:ext>
          </c:extLst>
        </c:ser>
        <c:dLbls>
          <c:showLegendKey val="0"/>
          <c:showVal val="0"/>
          <c:showCatName val="0"/>
          <c:showSerName val="0"/>
          <c:showPercent val="0"/>
          <c:showBubbleSize val="0"/>
        </c:dLbls>
        <c:gapWidth val="219"/>
        <c:overlap val="-27"/>
        <c:axId val="1675218975"/>
        <c:axId val="1675220415"/>
      </c:barChart>
      <c:catAx>
        <c:axId val="1675218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675220415"/>
        <c:crosses val="autoZero"/>
        <c:auto val="1"/>
        <c:lblAlgn val="ctr"/>
        <c:lblOffset val="100"/>
        <c:noMultiLvlLbl val="0"/>
      </c:catAx>
      <c:valAx>
        <c:axId val="1675220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675218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b="1" baseline="0">
                <a:latin typeface="Poppins" panose="00000500000000000000" pitchFamily="2" charset="0"/>
                <a:cs typeface="Poppins" panose="00000500000000000000" pitchFamily="2" charset="0"/>
              </a:rPr>
              <a:t>Prevelance of Obesity in Year 6 Children in England and North Tyneside (%). </a:t>
            </a:r>
            <a:endParaRPr lang="en-GB" sz="1050" b="1">
              <a:latin typeface="Poppins" panose="00000500000000000000" pitchFamily="2" charset="0"/>
              <a:cs typeface="Poppins" panose="00000500000000000000"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Sheet1!$B$1</c:f>
              <c:strCache>
                <c:ptCount val="1"/>
                <c:pt idx="0">
                  <c:v>North Tyneside </c:v>
                </c:pt>
              </c:strCache>
            </c:strRef>
          </c:tx>
          <c:spPr>
            <a:ln w="28575" cap="rnd">
              <a:solidFill>
                <a:schemeClr val="accent1">
                  <a:shade val="76000"/>
                </a:schemeClr>
              </a:solidFill>
              <a:round/>
            </a:ln>
            <a:effectLst/>
          </c:spPr>
          <c:marker>
            <c:symbol val="none"/>
          </c:marker>
          <c:cat>
            <c:strRef>
              <c:f>Sheet1!$A$2:$A$19</c:f>
              <c:strCache>
                <c:ptCount val="18"/>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strCache>
            </c:strRef>
          </c:cat>
          <c:val>
            <c:numRef>
              <c:f>Sheet1!$B$2:$B$19</c:f>
              <c:numCache>
                <c:formatCode>General</c:formatCode>
                <c:ptCount val="18"/>
                <c:pt idx="0">
                  <c:v>18.072299999999998</c:v>
                </c:pt>
                <c:pt idx="1">
                  <c:v>20.448899999999998</c:v>
                </c:pt>
                <c:pt idx="2">
                  <c:v>19.9513</c:v>
                </c:pt>
                <c:pt idx="3">
                  <c:v>19.084</c:v>
                </c:pt>
                <c:pt idx="4">
                  <c:v>20.320900000000002</c:v>
                </c:pt>
                <c:pt idx="5">
                  <c:v>22.0779</c:v>
                </c:pt>
                <c:pt idx="6">
                  <c:v>19.1892</c:v>
                </c:pt>
                <c:pt idx="7">
                  <c:v>17.974699999999999</c:v>
                </c:pt>
                <c:pt idx="8">
                  <c:v>19.1327</c:v>
                </c:pt>
                <c:pt idx="9">
                  <c:v>20.8431</c:v>
                </c:pt>
                <c:pt idx="10">
                  <c:v>20.737300000000001</c:v>
                </c:pt>
                <c:pt idx="11">
                  <c:v>21.014500000000002</c:v>
                </c:pt>
                <c:pt idx="12">
                  <c:v>21.6157</c:v>
                </c:pt>
                <c:pt idx="13">
                  <c:v>21.348299999999998</c:v>
                </c:pt>
                <c:pt idx="15">
                  <c:v>24.663699999999999</c:v>
                </c:pt>
                <c:pt idx="16">
                  <c:v>22.3947</c:v>
                </c:pt>
                <c:pt idx="17">
                  <c:v>22.2727</c:v>
                </c:pt>
              </c:numCache>
            </c:numRef>
          </c:val>
          <c:smooth val="0"/>
          <c:extLst>
            <c:ext xmlns:c16="http://schemas.microsoft.com/office/drawing/2014/chart" uri="{C3380CC4-5D6E-409C-BE32-E72D297353CC}">
              <c16:uniqueId val="{00000000-4CAE-4338-B270-0BE6118414E2}"/>
            </c:ext>
          </c:extLst>
        </c:ser>
        <c:ser>
          <c:idx val="1"/>
          <c:order val="1"/>
          <c:tx>
            <c:strRef>
              <c:f>Sheet1!$C$1</c:f>
              <c:strCache>
                <c:ptCount val="1"/>
                <c:pt idx="0">
                  <c:v>England</c:v>
                </c:pt>
              </c:strCache>
            </c:strRef>
          </c:tx>
          <c:spPr>
            <a:ln w="38100" cap="rnd">
              <a:solidFill>
                <a:schemeClr val="accent1">
                  <a:tint val="77000"/>
                </a:schemeClr>
              </a:solidFill>
              <a:prstDash val="dash"/>
              <a:round/>
            </a:ln>
            <a:effectLst/>
          </c:spPr>
          <c:marker>
            <c:symbol val="none"/>
          </c:marker>
          <c:cat>
            <c:strRef>
              <c:f>Sheet1!$A$2:$A$19</c:f>
              <c:strCache>
                <c:ptCount val="18"/>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strCache>
            </c:strRef>
          </c:cat>
          <c:val>
            <c:numRef>
              <c:f>Sheet1!$C$2:$C$19</c:f>
              <c:numCache>
                <c:formatCode>General</c:formatCode>
                <c:ptCount val="18"/>
                <c:pt idx="0">
                  <c:v>17.4941</c:v>
                </c:pt>
                <c:pt idx="1">
                  <c:v>18.311699999999998</c:v>
                </c:pt>
                <c:pt idx="2">
                  <c:v>18.331399999999999</c:v>
                </c:pt>
                <c:pt idx="3">
                  <c:v>18.7439</c:v>
                </c:pt>
                <c:pt idx="4">
                  <c:v>19.04</c:v>
                </c:pt>
                <c:pt idx="5">
                  <c:v>19.202500000000001</c:v>
                </c:pt>
                <c:pt idx="6">
                  <c:v>18.918299999999999</c:v>
                </c:pt>
                <c:pt idx="7">
                  <c:v>19.0929</c:v>
                </c:pt>
                <c:pt idx="8">
                  <c:v>19.079899999999999</c:v>
                </c:pt>
                <c:pt idx="9">
                  <c:v>19.829999999999998</c:v>
                </c:pt>
                <c:pt idx="10">
                  <c:v>19.978200000000001</c:v>
                </c:pt>
                <c:pt idx="11">
                  <c:v>20.142099999999999</c:v>
                </c:pt>
                <c:pt idx="12">
                  <c:v>20.2197</c:v>
                </c:pt>
                <c:pt idx="13">
                  <c:v>21.045400000000001</c:v>
                </c:pt>
                <c:pt idx="14">
                  <c:v>25.542300000000001</c:v>
                </c:pt>
                <c:pt idx="15">
                  <c:v>23.446000000000002</c:v>
                </c:pt>
                <c:pt idx="16">
                  <c:v>22.65</c:v>
                </c:pt>
                <c:pt idx="17">
                  <c:v>22.0931</c:v>
                </c:pt>
              </c:numCache>
            </c:numRef>
          </c:val>
          <c:smooth val="0"/>
          <c:extLst>
            <c:ext xmlns:c16="http://schemas.microsoft.com/office/drawing/2014/chart" uri="{C3380CC4-5D6E-409C-BE32-E72D297353CC}">
              <c16:uniqueId val="{00000001-4CAE-4338-B270-0BE6118414E2}"/>
            </c:ext>
          </c:extLst>
        </c:ser>
        <c:dLbls>
          <c:showLegendKey val="0"/>
          <c:showVal val="0"/>
          <c:showCatName val="0"/>
          <c:showSerName val="0"/>
          <c:showPercent val="0"/>
          <c:showBubbleSize val="0"/>
        </c:dLbls>
        <c:smooth val="0"/>
        <c:axId val="1104770607"/>
        <c:axId val="1104772047"/>
      </c:lineChart>
      <c:catAx>
        <c:axId val="110477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104772047"/>
        <c:crosses val="autoZero"/>
        <c:auto val="1"/>
        <c:lblAlgn val="ctr"/>
        <c:lblOffset val="100"/>
        <c:noMultiLvlLbl val="0"/>
      </c:catAx>
      <c:valAx>
        <c:axId val="1104772047"/>
        <c:scaling>
          <c:orientation val="minMax"/>
          <c:min val="1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104770607"/>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1">
                <a:latin typeface="Poppins" panose="00000500000000000000" pitchFamily="2" charset="0"/>
                <a:cs typeface="Poppins" panose="00000500000000000000" pitchFamily="2" charset="0"/>
              </a:rPr>
              <a:t>Prevelance</a:t>
            </a:r>
            <a:r>
              <a:rPr lang="en-GB" sz="1000" b="1" baseline="0">
                <a:latin typeface="Poppins" panose="00000500000000000000" pitchFamily="2" charset="0"/>
                <a:cs typeface="Poppins" panose="00000500000000000000" pitchFamily="2" charset="0"/>
              </a:rPr>
              <a:t> of Excess Weight and Very Overweight Children in Reception (%) per Ward from 2021/22 to 2023/24.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'[NCMP Ward data.xlsx]Reception'!$F$1</c:f>
              <c:strCache>
                <c:ptCount val="1"/>
                <c:pt idx="0">
                  <c:v>Excess Weight</c:v>
                </c:pt>
              </c:strCache>
            </c:strRef>
          </c:tx>
          <c:spPr>
            <a:solidFill>
              <a:schemeClr val="accent1">
                <a:shade val="76000"/>
              </a:schemeClr>
            </a:solidFill>
            <a:ln>
              <a:noFill/>
            </a:ln>
            <a:effectLst/>
          </c:spPr>
          <c:invertIfNegative val="0"/>
          <c:cat>
            <c:strRef>
              <c:f>'[NCMP Ward data.xlsx]Reception'!$E$2:$E$21</c:f>
              <c:strCache>
                <c:ptCount val="20"/>
                <c:pt idx="0">
                  <c:v>Forest Hall</c:v>
                </c:pt>
                <c:pt idx="1">
                  <c:v>Tynemouth</c:v>
                </c:pt>
                <c:pt idx="2">
                  <c:v>St Mary's</c:v>
                </c:pt>
                <c:pt idx="3">
                  <c:v>Preston with Preston Grange</c:v>
                </c:pt>
                <c:pt idx="4">
                  <c:v>Whitley Bay North</c:v>
                </c:pt>
                <c:pt idx="5">
                  <c:v>Battle Hill </c:v>
                </c:pt>
                <c:pt idx="6">
                  <c:v>Backworth &amp; Holystone</c:v>
                </c:pt>
                <c:pt idx="7">
                  <c:v>Cullercoats &amp; Whitley Bay South</c:v>
                </c:pt>
                <c:pt idx="8">
                  <c:v>Monkseaton </c:v>
                </c:pt>
                <c:pt idx="9">
                  <c:v>Camperdown</c:v>
                </c:pt>
                <c:pt idx="10">
                  <c:v>Longbenton &amp; Benton</c:v>
                </c:pt>
                <c:pt idx="11">
                  <c:v>Weetslade</c:v>
                </c:pt>
                <c:pt idx="12">
                  <c:v>Wallsend North</c:v>
                </c:pt>
                <c:pt idx="13">
                  <c:v>North Shields</c:v>
                </c:pt>
                <c:pt idx="14">
                  <c:v>Wallsend Central</c:v>
                </c:pt>
                <c:pt idx="15">
                  <c:v>Killingworth</c:v>
                </c:pt>
                <c:pt idx="16">
                  <c:v>Howdon</c:v>
                </c:pt>
                <c:pt idx="17">
                  <c:v>New York &amp; Murton</c:v>
                </c:pt>
                <c:pt idx="18">
                  <c:v>Shiremoor</c:v>
                </c:pt>
                <c:pt idx="19">
                  <c:v>Chirton &amp; Percy Main</c:v>
                </c:pt>
              </c:strCache>
            </c:strRef>
          </c:cat>
          <c:val>
            <c:numRef>
              <c:f>'[NCMP Ward data.xlsx]Reception'!$F$2:$F$21</c:f>
              <c:numCache>
                <c:formatCode>General</c:formatCode>
                <c:ptCount val="20"/>
                <c:pt idx="0">
                  <c:v>18.5</c:v>
                </c:pt>
                <c:pt idx="1">
                  <c:v>18.5</c:v>
                </c:pt>
                <c:pt idx="2">
                  <c:v>18.7</c:v>
                </c:pt>
                <c:pt idx="3">
                  <c:v>20.2</c:v>
                </c:pt>
                <c:pt idx="4">
                  <c:v>20.3</c:v>
                </c:pt>
                <c:pt idx="5">
                  <c:v>20.6</c:v>
                </c:pt>
                <c:pt idx="6">
                  <c:v>20.9</c:v>
                </c:pt>
                <c:pt idx="7">
                  <c:v>21.6</c:v>
                </c:pt>
                <c:pt idx="8">
                  <c:v>21.7</c:v>
                </c:pt>
                <c:pt idx="9">
                  <c:v>22.2</c:v>
                </c:pt>
                <c:pt idx="10">
                  <c:v>22.4</c:v>
                </c:pt>
                <c:pt idx="11">
                  <c:v>23.1</c:v>
                </c:pt>
                <c:pt idx="12">
                  <c:v>23.4</c:v>
                </c:pt>
                <c:pt idx="13">
                  <c:v>23.9</c:v>
                </c:pt>
                <c:pt idx="14">
                  <c:v>25.2</c:v>
                </c:pt>
                <c:pt idx="15">
                  <c:v>26.4</c:v>
                </c:pt>
                <c:pt idx="16">
                  <c:v>27.7</c:v>
                </c:pt>
                <c:pt idx="17">
                  <c:v>27.7</c:v>
                </c:pt>
                <c:pt idx="18">
                  <c:v>29.3</c:v>
                </c:pt>
                <c:pt idx="19">
                  <c:v>30.6</c:v>
                </c:pt>
              </c:numCache>
            </c:numRef>
          </c:val>
          <c:extLst>
            <c:ext xmlns:c16="http://schemas.microsoft.com/office/drawing/2014/chart" uri="{C3380CC4-5D6E-409C-BE32-E72D297353CC}">
              <c16:uniqueId val="{00000000-BE12-4FB9-A978-A2C25D88DD6C}"/>
            </c:ext>
          </c:extLst>
        </c:ser>
        <c:ser>
          <c:idx val="1"/>
          <c:order val="1"/>
          <c:tx>
            <c:strRef>
              <c:f>'[NCMP Ward data.xlsx]Reception'!$G$1</c:f>
              <c:strCache>
                <c:ptCount val="1"/>
                <c:pt idx="0">
                  <c:v>Very Overweight</c:v>
                </c:pt>
              </c:strCache>
            </c:strRef>
          </c:tx>
          <c:spPr>
            <a:solidFill>
              <a:schemeClr val="accent1">
                <a:tint val="77000"/>
              </a:schemeClr>
            </a:solidFill>
            <a:ln>
              <a:noFill/>
            </a:ln>
            <a:effectLst/>
          </c:spPr>
          <c:invertIfNegative val="0"/>
          <c:cat>
            <c:strRef>
              <c:f>'[NCMP Ward data.xlsx]Reception'!$E$2:$E$21</c:f>
              <c:strCache>
                <c:ptCount val="20"/>
                <c:pt idx="0">
                  <c:v>Forest Hall</c:v>
                </c:pt>
                <c:pt idx="1">
                  <c:v>Tynemouth</c:v>
                </c:pt>
                <c:pt idx="2">
                  <c:v>St Mary's</c:v>
                </c:pt>
                <c:pt idx="3">
                  <c:v>Preston with Preston Grange</c:v>
                </c:pt>
                <c:pt idx="4">
                  <c:v>Whitley Bay North</c:v>
                </c:pt>
                <c:pt idx="5">
                  <c:v>Battle Hill </c:v>
                </c:pt>
                <c:pt idx="6">
                  <c:v>Backworth &amp; Holystone</c:v>
                </c:pt>
                <c:pt idx="7">
                  <c:v>Cullercoats &amp; Whitley Bay South</c:v>
                </c:pt>
                <c:pt idx="8">
                  <c:v>Monkseaton </c:v>
                </c:pt>
                <c:pt idx="9">
                  <c:v>Camperdown</c:v>
                </c:pt>
                <c:pt idx="10">
                  <c:v>Longbenton &amp; Benton</c:v>
                </c:pt>
                <c:pt idx="11">
                  <c:v>Weetslade</c:v>
                </c:pt>
                <c:pt idx="12">
                  <c:v>Wallsend North</c:v>
                </c:pt>
                <c:pt idx="13">
                  <c:v>North Shields</c:v>
                </c:pt>
                <c:pt idx="14">
                  <c:v>Wallsend Central</c:v>
                </c:pt>
                <c:pt idx="15">
                  <c:v>Killingworth</c:v>
                </c:pt>
                <c:pt idx="16">
                  <c:v>Howdon</c:v>
                </c:pt>
                <c:pt idx="17">
                  <c:v>New York &amp; Murton</c:v>
                </c:pt>
                <c:pt idx="18">
                  <c:v>Shiremoor</c:v>
                </c:pt>
                <c:pt idx="19">
                  <c:v>Chirton &amp; Percy Main</c:v>
                </c:pt>
              </c:strCache>
            </c:strRef>
          </c:cat>
          <c:val>
            <c:numRef>
              <c:f>'[NCMP Ward data.xlsx]Reception'!$G$2:$G$21</c:f>
              <c:numCache>
                <c:formatCode>General</c:formatCode>
                <c:ptCount val="20"/>
                <c:pt idx="0">
                  <c:v>8.5</c:v>
                </c:pt>
                <c:pt idx="1">
                  <c:v>6.6</c:v>
                </c:pt>
                <c:pt idx="2">
                  <c:v>4.3</c:v>
                </c:pt>
                <c:pt idx="3">
                  <c:v>5.8</c:v>
                </c:pt>
                <c:pt idx="4">
                  <c:v>6.9</c:v>
                </c:pt>
                <c:pt idx="5">
                  <c:v>10.1</c:v>
                </c:pt>
                <c:pt idx="6">
                  <c:v>7.5</c:v>
                </c:pt>
                <c:pt idx="7">
                  <c:v>8.4</c:v>
                </c:pt>
                <c:pt idx="8">
                  <c:v>6.3</c:v>
                </c:pt>
                <c:pt idx="9">
                  <c:v>6.5</c:v>
                </c:pt>
                <c:pt idx="10">
                  <c:v>11.8</c:v>
                </c:pt>
                <c:pt idx="11">
                  <c:v>10</c:v>
                </c:pt>
                <c:pt idx="12">
                  <c:v>11.3</c:v>
                </c:pt>
                <c:pt idx="13">
                  <c:v>7.4</c:v>
                </c:pt>
                <c:pt idx="14">
                  <c:v>10.1</c:v>
                </c:pt>
                <c:pt idx="15">
                  <c:v>7.9</c:v>
                </c:pt>
                <c:pt idx="16">
                  <c:v>10.5</c:v>
                </c:pt>
                <c:pt idx="17">
                  <c:v>11.2</c:v>
                </c:pt>
                <c:pt idx="18">
                  <c:v>10.4</c:v>
                </c:pt>
                <c:pt idx="19">
                  <c:v>16</c:v>
                </c:pt>
              </c:numCache>
            </c:numRef>
          </c:val>
          <c:extLst>
            <c:ext xmlns:c16="http://schemas.microsoft.com/office/drawing/2014/chart" uri="{C3380CC4-5D6E-409C-BE32-E72D297353CC}">
              <c16:uniqueId val="{00000001-BE12-4FB9-A978-A2C25D88DD6C}"/>
            </c:ext>
          </c:extLst>
        </c:ser>
        <c:dLbls>
          <c:showLegendKey val="0"/>
          <c:showVal val="0"/>
          <c:showCatName val="0"/>
          <c:showSerName val="0"/>
          <c:showPercent val="0"/>
          <c:showBubbleSize val="0"/>
        </c:dLbls>
        <c:gapWidth val="150"/>
        <c:axId val="1256348015"/>
        <c:axId val="1256348495"/>
      </c:barChart>
      <c:catAx>
        <c:axId val="1256348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256348495"/>
        <c:crosses val="autoZero"/>
        <c:auto val="1"/>
        <c:lblAlgn val="ctr"/>
        <c:lblOffset val="100"/>
        <c:noMultiLvlLbl val="0"/>
      </c:catAx>
      <c:valAx>
        <c:axId val="1256348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25634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GB" sz="1000" b="1" i="0" u="none" strike="noStrike" kern="1200" spc="0" baseline="0">
                <a:solidFill>
                  <a:sysClr val="windowText" lastClr="000000">
                    <a:lumMod val="65000"/>
                    <a:lumOff val="35000"/>
                  </a:sysClr>
                </a:solidFill>
                <a:latin typeface="Poppins" panose="00000500000000000000" pitchFamily="2" charset="0"/>
                <a:cs typeface="Poppins" panose="00000500000000000000" pitchFamily="2" charset="0"/>
              </a:rPr>
              <a:t>Prevelance of Excess Weight and Very Overweight Children in Year 6  (%) per Ward from 2021/22 to 2023/24. </a:t>
            </a:r>
          </a:p>
        </c:rich>
      </c:tx>
      <c:layout>
        <c:manualLayout>
          <c:xMode val="edge"/>
          <c:yMode val="edge"/>
          <c:x val="0.10628176518927822"/>
          <c:y val="5.797101449275362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'[NCMP Ward data.xlsx]Year 6'!$F$1</c:f>
              <c:strCache>
                <c:ptCount val="1"/>
                <c:pt idx="0">
                  <c:v>Excess Weight</c:v>
                </c:pt>
              </c:strCache>
            </c:strRef>
          </c:tx>
          <c:spPr>
            <a:solidFill>
              <a:schemeClr val="accent1">
                <a:shade val="76000"/>
              </a:schemeClr>
            </a:solidFill>
            <a:ln>
              <a:noFill/>
            </a:ln>
            <a:effectLst/>
          </c:spPr>
          <c:invertIfNegative val="0"/>
          <c:cat>
            <c:strRef>
              <c:f>'[NCMP Ward data.xlsx]Year 6'!$E$2:$E$21</c:f>
              <c:strCache>
                <c:ptCount val="20"/>
                <c:pt idx="0">
                  <c:v>St Mary's</c:v>
                </c:pt>
                <c:pt idx="1">
                  <c:v>Whitley Bay North</c:v>
                </c:pt>
                <c:pt idx="2">
                  <c:v>Cullercoats &amp; Whitley Bay South</c:v>
                </c:pt>
                <c:pt idx="3">
                  <c:v>Tynemouth</c:v>
                </c:pt>
                <c:pt idx="4">
                  <c:v>Monkseaton </c:v>
                </c:pt>
                <c:pt idx="5">
                  <c:v>Backworth &amp; Holystone</c:v>
                </c:pt>
                <c:pt idx="6">
                  <c:v>Shiremoor</c:v>
                </c:pt>
                <c:pt idx="7">
                  <c:v>Killingworth</c:v>
                </c:pt>
                <c:pt idx="8">
                  <c:v>Camperdown</c:v>
                </c:pt>
                <c:pt idx="9">
                  <c:v>Forest Hall</c:v>
                </c:pt>
                <c:pt idx="10">
                  <c:v>North Shields</c:v>
                </c:pt>
                <c:pt idx="11">
                  <c:v>Wallsend North</c:v>
                </c:pt>
                <c:pt idx="12">
                  <c:v>Preston with Preston Grange</c:v>
                </c:pt>
                <c:pt idx="13">
                  <c:v>Longbenton &amp; Benton</c:v>
                </c:pt>
                <c:pt idx="14">
                  <c:v>Wallsend Central</c:v>
                </c:pt>
                <c:pt idx="15">
                  <c:v>Battle Hill </c:v>
                </c:pt>
                <c:pt idx="16">
                  <c:v>Weetslade</c:v>
                </c:pt>
                <c:pt idx="17">
                  <c:v>Howdon</c:v>
                </c:pt>
                <c:pt idx="18">
                  <c:v>New York &amp; Murton</c:v>
                </c:pt>
                <c:pt idx="19">
                  <c:v>Chirton &amp; Percy Main</c:v>
                </c:pt>
              </c:strCache>
            </c:strRef>
          </c:cat>
          <c:val>
            <c:numRef>
              <c:f>'[NCMP Ward data.xlsx]Year 6'!$F$2:$F$21</c:f>
              <c:numCache>
                <c:formatCode>General</c:formatCode>
                <c:ptCount val="20"/>
                <c:pt idx="0">
                  <c:v>24.3</c:v>
                </c:pt>
                <c:pt idx="1">
                  <c:v>25</c:v>
                </c:pt>
                <c:pt idx="2">
                  <c:v>26.1</c:v>
                </c:pt>
                <c:pt idx="3">
                  <c:v>26.8</c:v>
                </c:pt>
                <c:pt idx="4">
                  <c:v>27.9</c:v>
                </c:pt>
                <c:pt idx="5">
                  <c:v>34.799999999999997</c:v>
                </c:pt>
                <c:pt idx="6">
                  <c:v>36.299999999999997</c:v>
                </c:pt>
                <c:pt idx="7">
                  <c:v>37.5</c:v>
                </c:pt>
                <c:pt idx="8">
                  <c:v>37.700000000000003</c:v>
                </c:pt>
                <c:pt idx="9">
                  <c:v>38.1</c:v>
                </c:pt>
                <c:pt idx="10">
                  <c:v>38.6</c:v>
                </c:pt>
                <c:pt idx="11">
                  <c:v>39.9</c:v>
                </c:pt>
                <c:pt idx="12">
                  <c:v>40.299999999999997</c:v>
                </c:pt>
                <c:pt idx="13">
                  <c:v>40.5</c:v>
                </c:pt>
                <c:pt idx="14">
                  <c:v>42</c:v>
                </c:pt>
                <c:pt idx="15">
                  <c:v>44.3</c:v>
                </c:pt>
                <c:pt idx="16">
                  <c:v>45.8</c:v>
                </c:pt>
                <c:pt idx="17">
                  <c:v>46.4</c:v>
                </c:pt>
                <c:pt idx="18">
                  <c:v>47</c:v>
                </c:pt>
                <c:pt idx="19">
                  <c:v>47.1</c:v>
                </c:pt>
              </c:numCache>
            </c:numRef>
          </c:val>
          <c:extLst>
            <c:ext xmlns:c16="http://schemas.microsoft.com/office/drawing/2014/chart" uri="{C3380CC4-5D6E-409C-BE32-E72D297353CC}">
              <c16:uniqueId val="{00000000-A140-40CA-B137-53FEB32098E2}"/>
            </c:ext>
          </c:extLst>
        </c:ser>
        <c:ser>
          <c:idx val="1"/>
          <c:order val="1"/>
          <c:tx>
            <c:strRef>
              <c:f>'[NCMP Ward data.xlsx]Year 6'!$G$1</c:f>
              <c:strCache>
                <c:ptCount val="1"/>
                <c:pt idx="0">
                  <c:v>Very Overweight</c:v>
                </c:pt>
              </c:strCache>
            </c:strRef>
          </c:tx>
          <c:spPr>
            <a:solidFill>
              <a:schemeClr val="accent1">
                <a:tint val="77000"/>
              </a:schemeClr>
            </a:solidFill>
            <a:ln>
              <a:noFill/>
            </a:ln>
            <a:effectLst/>
          </c:spPr>
          <c:invertIfNegative val="0"/>
          <c:cat>
            <c:strRef>
              <c:f>'[NCMP Ward data.xlsx]Year 6'!$E$2:$E$21</c:f>
              <c:strCache>
                <c:ptCount val="20"/>
                <c:pt idx="0">
                  <c:v>St Mary's</c:v>
                </c:pt>
                <c:pt idx="1">
                  <c:v>Whitley Bay North</c:v>
                </c:pt>
                <c:pt idx="2">
                  <c:v>Cullercoats &amp; Whitley Bay South</c:v>
                </c:pt>
                <c:pt idx="3">
                  <c:v>Tynemouth</c:v>
                </c:pt>
                <c:pt idx="4">
                  <c:v>Monkseaton </c:v>
                </c:pt>
                <c:pt idx="5">
                  <c:v>Backworth &amp; Holystone</c:v>
                </c:pt>
                <c:pt idx="6">
                  <c:v>Shiremoor</c:v>
                </c:pt>
                <c:pt idx="7">
                  <c:v>Killingworth</c:v>
                </c:pt>
                <c:pt idx="8">
                  <c:v>Camperdown</c:v>
                </c:pt>
                <c:pt idx="9">
                  <c:v>Forest Hall</c:v>
                </c:pt>
                <c:pt idx="10">
                  <c:v>North Shields</c:v>
                </c:pt>
                <c:pt idx="11">
                  <c:v>Wallsend North</c:v>
                </c:pt>
                <c:pt idx="12">
                  <c:v>Preston with Preston Grange</c:v>
                </c:pt>
                <c:pt idx="13">
                  <c:v>Longbenton &amp; Benton</c:v>
                </c:pt>
                <c:pt idx="14">
                  <c:v>Wallsend Central</c:v>
                </c:pt>
                <c:pt idx="15">
                  <c:v>Battle Hill </c:v>
                </c:pt>
                <c:pt idx="16">
                  <c:v>Weetslade</c:v>
                </c:pt>
                <c:pt idx="17">
                  <c:v>Howdon</c:v>
                </c:pt>
                <c:pt idx="18">
                  <c:v>New York &amp; Murton</c:v>
                </c:pt>
                <c:pt idx="19">
                  <c:v>Chirton &amp; Percy Main</c:v>
                </c:pt>
              </c:strCache>
            </c:strRef>
          </c:cat>
          <c:val>
            <c:numRef>
              <c:f>'[NCMP Ward data.xlsx]Year 6'!$G$2:$G$21</c:f>
              <c:numCache>
                <c:formatCode>General</c:formatCode>
                <c:ptCount val="20"/>
                <c:pt idx="0">
                  <c:v>12.9</c:v>
                </c:pt>
                <c:pt idx="1">
                  <c:v>11.3</c:v>
                </c:pt>
                <c:pt idx="2">
                  <c:v>14.3</c:v>
                </c:pt>
                <c:pt idx="3">
                  <c:v>14.5</c:v>
                </c:pt>
                <c:pt idx="4">
                  <c:v>15.8</c:v>
                </c:pt>
                <c:pt idx="5">
                  <c:v>20.7</c:v>
                </c:pt>
                <c:pt idx="6">
                  <c:v>21.8</c:v>
                </c:pt>
                <c:pt idx="7">
                  <c:v>24.7</c:v>
                </c:pt>
                <c:pt idx="8">
                  <c:v>20.399999999999999</c:v>
                </c:pt>
                <c:pt idx="9">
                  <c:v>21.8</c:v>
                </c:pt>
                <c:pt idx="10">
                  <c:v>26.6</c:v>
                </c:pt>
                <c:pt idx="11">
                  <c:v>26.2</c:v>
                </c:pt>
                <c:pt idx="12">
                  <c:v>22.6</c:v>
                </c:pt>
                <c:pt idx="13">
                  <c:v>24.3</c:v>
                </c:pt>
                <c:pt idx="14">
                  <c:v>29.9</c:v>
                </c:pt>
                <c:pt idx="15">
                  <c:v>28.9</c:v>
                </c:pt>
                <c:pt idx="16">
                  <c:v>29.5</c:v>
                </c:pt>
                <c:pt idx="17">
                  <c:v>34.200000000000003</c:v>
                </c:pt>
                <c:pt idx="18">
                  <c:v>30.2</c:v>
                </c:pt>
                <c:pt idx="19">
                  <c:v>33.5</c:v>
                </c:pt>
              </c:numCache>
            </c:numRef>
          </c:val>
          <c:extLst>
            <c:ext xmlns:c16="http://schemas.microsoft.com/office/drawing/2014/chart" uri="{C3380CC4-5D6E-409C-BE32-E72D297353CC}">
              <c16:uniqueId val="{00000001-A140-40CA-B137-53FEB32098E2}"/>
            </c:ext>
          </c:extLst>
        </c:ser>
        <c:dLbls>
          <c:showLegendKey val="0"/>
          <c:showVal val="0"/>
          <c:showCatName val="0"/>
          <c:showSerName val="0"/>
          <c:showPercent val="0"/>
          <c:showBubbleSize val="0"/>
        </c:dLbls>
        <c:gapWidth val="150"/>
        <c:axId val="1026816256"/>
        <c:axId val="1026816736"/>
      </c:barChart>
      <c:catAx>
        <c:axId val="102681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026816736"/>
        <c:crosses val="autoZero"/>
        <c:auto val="1"/>
        <c:lblAlgn val="ctr"/>
        <c:lblOffset val="100"/>
        <c:noMultiLvlLbl val="0"/>
      </c:catAx>
      <c:valAx>
        <c:axId val="102681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02681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1">
                <a:latin typeface="Poppins" panose="00000500000000000000" pitchFamily="2" charset="0"/>
                <a:cs typeface="Poppins" panose="00000500000000000000" pitchFamily="2" charset="0"/>
              </a:rPr>
              <a:t>Prevelance</a:t>
            </a:r>
            <a:r>
              <a:rPr lang="en-GB" sz="1000" b="1" baseline="0">
                <a:latin typeface="Poppins" panose="00000500000000000000" pitchFamily="2" charset="0"/>
                <a:cs typeface="Poppins" panose="00000500000000000000" pitchFamily="2" charset="0"/>
              </a:rPr>
              <a:t> of Excess Weight and Obesity in Adults (2022/23)</a:t>
            </a:r>
            <a:endParaRPr lang="en-GB" sz="1000" b="1">
              <a:latin typeface="Poppins" panose="00000500000000000000" pitchFamily="2" charset="0"/>
              <a:cs typeface="Poppins" panose="00000500000000000000" pitchFamily="2"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Sheet1!$A$2</c:f>
              <c:strCache>
                <c:ptCount val="1"/>
                <c:pt idx="0">
                  <c:v>Adult obesity </c:v>
                </c:pt>
              </c:strCache>
            </c:strRef>
          </c:tx>
          <c:spPr>
            <a:solidFill>
              <a:schemeClr val="accent1">
                <a:tint val="77000"/>
              </a:schemeClr>
            </a:solidFill>
            <a:ln>
              <a:noFill/>
            </a:ln>
            <a:effectLst/>
          </c:spPr>
          <c:invertIfNegative val="0"/>
          <c:cat>
            <c:strRef>
              <c:f>Sheet1!$B$1:$D$1</c:f>
              <c:strCache>
                <c:ptCount val="3"/>
                <c:pt idx="0">
                  <c:v>North Tyneside </c:v>
                </c:pt>
                <c:pt idx="1">
                  <c:v>North East Region </c:v>
                </c:pt>
                <c:pt idx="2">
                  <c:v>England </c:v>
                </c:pt>
              </c:strCache>
            </c:strRef>
          </c:cat>
          <c:val>
            <c:numRef>
              <c:f>Sheet1!$B$2:$D$2</c:f>
              <c:numCache>
                <c:formatCode>0.00%</c:formatCode>
                <c:ptCount val="3"/>
                <c:pt idx="0">
                  <c:v>0.29799999999999999</c:v>
                </c:pt>
                <c:pt idx="1">
                  <c:v>0.32200000000000001</c:v>
                </c:pt>
                <c:pt idx="2">
                  <c:v>0.26200000000000001</c:v>
                </c:pt>
              </c:numCache>
            </c:numRef>
          </c:val>
          <c:extLst>
            <c:ext xmlns:c16="http://schemas.microsoft.com/office/drawing/2014/chart" uri="{C3380CC4-5D6E-409C-BE32-E72D297353CC}">
              <c16:uniqueId val="{00000000-3C07-4F09-A2B3-8E319CC882DE}"/>
            </c:ext>
          </c:extLst>
        </c:ser>
        <c:ser>
          <c:idx val="1"/>
          <c:order val="1"/>
          <c:tx>
            <c:strRef>
              <c:f>Sheet1!$A$3</c:f>
              <c:strCache>
                <c:ptCount val="1"/>
                <c:pt idx="0">
                  <c:v>Adult excess weight </c:v>
                </c:pt>
              </c:strCache>
            </c:strRef>
          </c:tx>
          <c:spPr>
            <a:solidFill>
              <a:schemeClr val="accent1">
                <a:shade val="76000"/>
              </a:schemeClr>
            </a:solidFill>
            <a:ln>
              <a:noFill/>
            </a:ln>
            <a:effectLst/>
          </c:spPr>
          <c:invertIfNegative val="0"/>
          <c:cat>
            <c:strRef>
              <c:f>Sheet1!$B$1:$D$1</c:f>
              <c:strCache>
                <c:ptCount val="3"/>
                <c:pt idx="0">
                  <c:v>North Tyneside </c:v>
                </c:pt>
                <c:pt idx="1">
                  <c:v>North East Region </c:v>
                </c:pt>
                <c:pt idx="2">
                  <c:v>England </c:v>
                </c:pt>
              </c:strCache>
            </c:strRef>
          </c:cat>
          <c:val>
            <c:numRef>
              <c:f>Sheet1!$B$3:$D$3</c:f>
              <c:numCache>
                <c:formatCode>0.00%</c:formatCode>
                <c:ptCount val="3"/>
                <c:pt idx="0">
                  <c:v>0.63200000000000001</c:v>
                </c:pt>
                <c:pt idx="1">
                  <c:v>0.70199999999999996</c:v>
                </c:pt>
                <c:pt idx="2" formatCode="0%">
                  <c:v>0.64</c:v>
                </c:pt>
              </c:numCache>
            </c:numRef>
          </c:val>
          <c:extLst>
            <c:ext xmlns:c16="http://schemas.microsoft.com/office/drawing/2014/chart" uri="{C3380CC4-5D6E-409C-BE32-E72D297353CC}">
              <c16:uniqueId val="{00000001-3C07-4F09-A2B3-8E319CC882DE}"/>
            </c:ext>
          </c:extLst>
        </c:ser>
        <c:dLbls>
          <c:showLegendKey val="0"/>
          <c:showVal val="0"/>
          <c:showCatName val="0"/>
          <c:showSerName val="0"/>
          <c:showPercent val="0"/>
          <c:showBubbleSize val="0"/>
        </c:dLbls>
        <c:gapWidth val="150"/>
        <c:axId val="1454069072"/>
        <c:axId val="1454072912"/>
      </c:barChart>
      <c:catAx>
        <c:axId val="14540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454072912"/>
        <c:crosses val="autoZero"/>
        <c:auto val="1"/>
        <c:lblAlgn val="ctr"/>
        <c:lblOffset val="100"/>
        <c:noMultiLvlLbl val="0"/>
      </c:catAx>
      <c:valAx>
        <c:axId val="1454072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45406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BDBB-375F-4FA5-B91A-D6076EC4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3711</Words>
  <Characters>21155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Harrison</dc:creator>
  <cp:keywords/>
  <dc:description/>
  <cp:lastModifiedBy>Martin Craddock</cp:lastModifiedBy>
  <cp:revision>3</cp:revision>
  <cp:lastPrinted>2025-08-08T12:06:00Z</cp:lastPrinted>
  <dcterms:created xsi:type="dcterms:W3CDTF">2025-08-08T12:05:00Z</dcterms:created>
  <dcterms:modified xsi:type="dcterms:W3CDTF">2025-08-08T12:06:00Z</dcterms:modified>
</cp:coreProperties>
</file>